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5DEA5" w14:textId="77777777" w:rsidR="005F5B62" w:rsidRPr="009404CF" w:rsidRDefault="005F5B62" w:rsidP="005F5B62">
      <w:pPr>
        <w:rPr>
          <w:rFonts w:ascii="Arial" w:hAnsi="Arial" w:cs="Arial"/>
          <w:color w:val="000000"/>
        </w:rPr>
      </w:pPr>
      <w:permStart w:id="1404244874" w:edGrp="everyone"/>
      <w:r>
        <w:rPr>
          <w:rFonts w:ascii="Arial" w:hAnsi="Arial" w:cs="Arial"/>
          <w:noProof/>
          <w:color w:val="000000"/>
          <w:lang w:eastAsia="de-DE"/>
        </w:rPr>
        <w:drawing>
          <wp:inline distT="0" distB="0" distL="0" distR="0" wp14:anchorId="29DA93AD" wp14:editId="41602C7D">
            <wp:extent cx="1762125" cy="1314450"/>
            <wp:effectExtent l="0" t="0" r="9525" b="0"/>
            <wp:docPr id="3" name="Grafik 3" descr="I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Ih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314450"/>
                    </a:xfrm>
                    <a:prstGeom prst="rect">
                      <a:avLst/>
                    </a:prstGeom>
                    <a:noFill/>
                    <a:ln>
                      <a:noFill/>
                    </a:ln>
                  </pic:spPr>
                </pic:pic>
              </a:graphicData>
            </a:graphic>
          </wp:inline>
        </w:drawing>
      </w:r>
    </w:p>
    <w:p w14:paraId="10BB301E" w14:textId="77777777" w:rsidR="005F5B62" w:rsidRPr="009404CF" w:rsidRDefault="005F5B62" w:rsidP="005F5B62">
      <w:pPr>
        <w:rPr>
          <w:rFonts w:ascii="Arial" w:hAnsi="Arial" w:cs="Arial"/>
          <w:color w:val="000000"/>
        </w:rPr>
      </w:pPr>
    </w:p>
    <w:p w14:paraId="7831B002" w14:textId="77777777" w:rsidR="005F5B62" w:rsidRPr="009404CF" w:rsidRDefault="005F5B62" w:rsidP="005F5B62">
      <w:pPr>
        <w:rPr>
          <w:rFonts w:ascii="Arial" w:hAnsi="Arial" w:cs="Arial"/>
          <w:color w:val="000000"/>
        </w:rPr>
      </w:pPr>
    </w:p>
    <w:p w14:paraId="253A3703" w14:textId="77777777" w:rsidR="005F5B62" w:rsidRPr="009404CF" w:rsidRDefault="005F5B62" w:rsidP="005F5B62">
      <w:pPr>
        <w:rPr>
          <w:rFonts w:ascii="Arial" w:hAnsi="Arial" w:cs="Arial"/>
          <w:color w:val="000000"/>
        </w:rPr>
      </w:pPr>
    </w:p>
    <w:p w14:paraId="455D3259" w14:textId="77777777" w:rsidR="005F5B62" w:rsidRPr="009404CF" w:rsidRDefault="005F5B62" w:rsidP="005F5B62">
      <w:pPr>
        <w:rPr>
          <w:rFonts w:ascii="Arial" w:hAnsi="Arial" w:cs="Arial"/>
          <w:color w:val="000000"/>
        </w:rPr>
      </w:pPr>
    </w:p>
    <w:p w14:paraId="23616C61" w14:textId="77777777" w:rsidR="005F5B62" w:rsidRPr="009404CF" w:rsidRDefault="005F5B62" w:rsidP="005F5B62">
      <w:pPr>
        <w:rPr>
          <w:rFonts w:ascii="Arial" w:hAnsi="Arial" w:cs="Arial"/>
          <w:color w:val="000000"/>
        </w:rPr>
      </w:pPr>
    </w:p>
    <w:p w14:paraId="6B879C3A" w14:textId="77777777" w:rsidR="005F5B62" w:rsidRPr="009404CF" w:rsidRDefault="005F5B62" w:rsidP="005F5B62">
      <w:pPr>
        <w:rPr>
          <w:rFonts w:ascii="Arial" w:hAnsi="Arial" w:cs="Arial"/>
          <w:color w:val="000000"/>
        </w:rPr>
      </w:pPr>
    </w:p>
    <w:p w14:paraId="4C8158DA" w14:textId="77777777" w:rsidR="005F5B62" w:rsidRPr="009404CF" w:rsidRDefault="005F5B62" w:rsidP="005F5B62">
      <w:pPr>
        <w:rPr>
          <w:rFonts w:ascii="Arial" w:hAnsi="Arial" w:cs="Arial"/>
          <w:color w:val="000000"/>
        </w:rPr>
      </w:pPr>
    </w:p>
    <w:p w14:paraId="193A7FBC" w14:textId="2E760E42" w:rsidR="005F5B62" w:rsidRPr="009404CF" w:rsidRDefault="005F5B62" w:rsidP="005F5B62">
      <w:pPr>
        <w:pBdr>
          <w:top w:val="single" w:sz="4" w:space="1" w:color="auto"/>
          <w:left w:val="single" w:sz="4" w:space="4" w:color="auto"/>
          <w:bottom w:val="single" w:sz="4" w:space="1" w:color="auto"/>
          <w:right w:val="single" w:sz="4" w:space="4" w:color="auto"/>
        </w:pBdr>
        <w:outlineLvl w:val="0"/>
        <w:rPr>
          <w:rFonts w:ascii="Arial" w:hAnsi="Arial" w:cs="Arial"/>
          <w:b/>
          <w:color w:val="000000"/>
        </w:rPr>
      </w:pPr>
      <w:r w:rsidRPr="009404CF">
        <w:rPr>
          <w:rFonts w:ascii="Arial" w:hAnsi="Arial" w:cs="Arial"/>
          <w:b/>
          <w:color w:val="000000"/>
          <w:highlight w:val="lightGray"/>
        </w:rPr>
        <w:t>[</w:t>
      </w:r>
      <w:r w:rsidR="00BB03C3">
        <w:rPr>
          <w:rFonts w:ascii="Arial" w:hAnsi="Arial" w:cs="Arial"/>
          <w:b/>
          <w:color w:val="000000"/>
          <w:highlight w:val="lightGray"/>
        </w:rPr>
        <w:t xml:space="preserve">Monatsbericht </w:t>
      </w:r>
      <w:r w:rsidR="00007452">
        <w:rPr>
          <w:rFonts w:ascii="Arial" w:hAnsi="Arial" w:cs="Arial"/>
          <w:b/>
          <w:color w:val="000000"/>
          <w:highlight w:val="lightGray"/>
        </w:rPr>
        <w:t xml:space="preserve">Dezember </w:t>
      </w:r>
      <w:r w:rsidR="00BB03C3">
        <w:rPr>
          <w:rFonts w:ascii="Arial" w:hAnsi="Arial" w:cs="Arial"/>
          <w:b/>
          <w:color w:val="000000"/>
          <w:highlight w:val="lightGray"/>
        </w:rPr>
        <w:t>2020</w:t>
      </w:r>
      <w:r w:rsidRPr="009404CF">
        <w:rPr>
          <w:rFonts w:ascii="Arial" w:hAnsi="Arial" w:cs="Arial"/>
          <w:b/>
          <w:color w:val="000000"/>
          <w:highlight w:val="lightGray"/>
        </w:rPr>
        <w:t>]</w:t>
      </w:r>
    </w:p>
    <w:permEnd w:id="1404244874"/>
    <w:p w14:paraId="74430F48" w14:textId="77777777" w:rsidR="005F5B62" w:rsidRDefault="005F5B62" w:rsidP="005F5B62">
      <w:pPr>
        <w:pStyle w:val="Textkrper"/>
        <w:spacing w:after="200" w:line="276" w:lineRule="auto"/>
        <w:ind w:right="141"/>
        <w:rPr>
          <w:rFonts w:ascii="Arial" w:hAnsi="Arial" w:cs="Arial"/>
          <w:b/>
          <w:color w:val="C00000"/>
        </w:rPr>
      </w:pPr>
    </w:p>
    <w:p w14:paraId="0789EC46" w14:textId="001887DF" w:rsidR="00BB03C3" w:rsidRDefault="00BB03C3" w:rsidP="00BB03C3">
      <w:pPr>
        <w:autoSpaceDE w:val="0"/>
        <w:autoSpaceDN w:val="0"/>
        <w:adjustRightInd w:val="0"/>
        <w:spacing w:line="240" w:lineRule="auto"/>
        <w:rPr>
          <w:rFonts w:asciiTheme="minorHAnsi" w:eastAsia="Times New Roman" w:hAnsiTheme="minorHAnsi" w:cs="Calibri"/>
          <w:b/>
          <w:bCs/>
          <w:color w:val="FFC300"/>
          <w:sz w:val="60"/>
          <w:szCs w:val="60"/>
        </w:rPr>
      </w:pPr>
      <w:r>
        <w:rPr>
          <w:rFonts w:asciiTheme="minorHAnsi" w:eastAsia="Times New Roman" w:hAnsiTheme="minorHAnsi" w:cs="Calibri"/>
          <w:b/>
          <w:bCs/>
          <w:color w:val="FFC300"/>
          <w:sz w:val="60"/>
          <w:szCs w:val="60"/>
        </w:rPr>
        <w:t xml:space="preserve">Monatsbericht </w:t>
      </w:r>
      <w:r w:rsidR="00007452">
        <w:rPr>
          <w:rFonts w:asciiTheme="minorHAnsi" w:eastAsia="Times New Roman" w:hAnsiTheme="minorHAnsi" w:cs="Calibri"/>
          <w:b/>
          <w:bCs/>
          <w:color w:val="FFC300"/>
          <w:sz w:val="60"/>
          <w:szCs w:val="60"/>
        </w:rPr>
        <w:t xml:space="preserve">Dezember </w:t>
      </w:r>
      <w:r>
        <w:rPr>
          <w:rFonts w:asciiTheme="minorHAnsi" w:eastAsia="Times New Roman" w:hAnsiTheme="minorHAnsi" w:cs="Calibri"/>
          <w:b/>
          <w:bCs/>
          <w:color w:val="FFC300"/>
          <w:sz w:val="60"/>
          <w:szCs w:val="60"/>
        </w:rPr>
        <w:t>2020</w:t>
      </w:r>
    </w:p>
    <w:p w14:paraId="26DCDC37" w14:textId="77777777" w:rsidR="00007452" w:rsidRPr="00007452" w:rsidRDefault="00007452" w:rsidP="00007452">
      <w:pPr>
        <w:jc w:val="both"/>
        <w:rPr>
          <w:rFonts w:ascii="Roboto Slab" w:hAnsi="Roboto Slab" w:cs="Arial"/>
          <w:b/>
          <w:bCs/>
          <w:lang w:eastAsia="de-DE"/>
        </w:rPr>
      </w:pPr>
      <w:r w:rsidRPr="00007452">
        <w:rPr>
          <w:rFonts w:ascii="Roboto Slab" w:hAnsi="Roboto Slab" w:cs="Arial"/>
          <w:b/>
          <w:bCs/>
          <w:lang w:eastAsia="de-DE"/>
        </w:rPr>
        <w:t>Konjunktur und Börsen auf Erholungskurs</w:t>
      </w:r>
    </w:p>
    <w:p w14:paraId="01F8E372" w14:textId="79450522" w:rsidR="00007452" w:rsidRPr="00007452" w:rsidRDefault="00007452" w:rsidP="00007452">
      <w:pPr>
        <w:jc w:val="both"/>
        <w:rPr>
          <w:rFonts w:ascii="Roboto Slab" w:hAnsi="Roboto Slab" w:cs="Arial"/>
          <w:lang w:eastAsia="de-DE"/>
        </w:rPr>
      </w:pPr>
      <w:r w:rsidRPr="00007452">
        <w:rPr>
          <w:rFonts w:ascii="Roboto Slab" w:hAnsi="Roboto Slab" w:cs="Arial"/>
          <w:lang w:eastAsia="de-DE"/>
        </w:rPr>
        <w:t xml:space="preserve">2020 ist ein Jahr mit Ausnahmecharakter. Das zeigt auch die Entwicklung der Börsen. Auf den schnellsten und heftigsten Crash der vergangenen 30 Jahre folgte bekanntlich eine weitreichende Kurserholung. Auf der Zielgerade scheinen die Aktienmärkte die Jahresbilanz noch aufpolieren zu wollen. Die Verfügbarkeit von Impfstoffen gegen das SARS-CoV-2-Virus hatte im November eine Aufholjagd der Branchen ausgelöst, die unter der Pandemie sehr leiden. Die Börse setzt damit auf die Erholung, die für 2021 zu erwarten ist und in Asien bereits beobachtet werden kann. Die Wirtschaft in China und einer Reihe kleinerer asiatischer Volkswirtschaften erlebt bereits einen starken Aufschwung. Im gesamten Kalenderjahr 2020 wird die chinesische Wirtschaft gegenüber dem Vorjahr wieder gewachsen sein. Die zweite Welle der Pandemie ist vor allem ein europäisches Problem. In Europa verschlechterten sich die kurzfristigen Aussichten für die Konjunktur angesichts neuer Shutdown-Maßnahmen messbar. Außerhalb Europas hat sich die Erwartung an die Geschäftsentwicklung aber sogar weiter verbessert. Insbesondere in den USA, das unter dem abgewählten Präsidenten Trump zu dem Land mit den meisten Infizierten und Toten wurde, sind die Hoffnungen auf eine Erholung im kommenden Jahr groß. Damit sind die Aussichten für die Weltkonjunktur 2021 nicht schlecht. Neben der „Weltkonjunkturlokomotive“ China dürften auch die USA stark zum Wachstum beitragen. </w:t>
      </w:r>
      <w:r w:rsidRPr="00007452">
        <w:rPr>
          <w:rFonts w:ascii="Roboto Slab" w:hAnsi="Roboto Slab" w:cs="Arial"/>
          <w:lang w:eastAsia="de-DE"/>
        </w:rPr>
        <w:lastRenderedPageBreak/>
        <w:t>Davon werden dann exportstarke Volkswirtschaften wie Deutschland und Japan auch profitieren.</w:t>
      </w:r>
    </w:p>
    <w:p w14:paraId="443A3CDB" w14:textId="77777777" w:rsidR="00007452" w:rsidRPr="00007452" w:rsidRDefault="00007452" w:rsidP="00007452">
      <w:pPr>
        <w:jc w:val="both"/>
        <w:rPr>
          <w:rFonts w:ascii="Roboto Slab" w:hAnsi="Roboto Slab" w:cs="Arial"/>
          <w:lang w:eastAsia="de-DE"/>
        </w:rPr>
      </w:pPr>
      <w:r w:rsidRPr="00007452">
        <w:rPr>
          <w:rFonts w:ascii="Roboto Slab" w:hAnsi="Roboto Slab" w:cs="Arial"/>
          <w:lang w:eastAsia="de-DE"/>
        </w:rPr>
        <w:t xml:space="preserve">Die Anzeichen für eine starke Erholung der Weltkonjunktur sind kaum zu übersehen: Beispielsweise liegen die Frachtraten für den weltweiten Containertransport jetzt durchschnittlich etwa beim Doppelten dessen, was in den ersten Wochen dieses Jahres bezahlt werden musste - noch bevor der Virus in großen Stil Europa und Amerika erreichte und die Frachtraten einbrechen ließ. Tatsächlich kam es in den vergangenen Wochen sogar schon zu Engpässen, weil die Kapazitäten der Containerschiffe nicht ausreichten, um alle Transportwünsche umgehend zu erfüllen. </w:t>
      </w:r>
    </w:p>
    <w:p w14:paraId="093D74BE" w14:textId="7163B4EF" w:rsidR="00007452" w:rsidRDefault="00007452" w:rsidP="00007452">
      <w:pPr>
        <w:jc w:val="both"/>
        <w:rPr>
          <w:rFonts w:ascii="Roboto Slab" w:hAnsi="Roboto Slab" w:cs="Arial"/>
          <w:lang w:eastAsia="de-DE"/>
        </w:rPr>
      </w:pPr>
      <w:r w:rsidRPr="00007452">
        <w:rPr>
          <w:rFonts w:ascii="Roboto Slab" w:hAnsi="Roboto Slab" w:cs="Arial"/>
          <w:lang w:eastAsia="de-DE"/>
        </w:rPr>
        <w:t xml:space="preserve">Auch der Weltmarktpreis für Kupfer gilt als ein guter Indikator für die Entwicklung der Weltkonjunktur. Auch er war im März eingebrochen – von über 6.000 auf unter 5.000 Dollar pro Tonne. Doch seit April ging es auch mit dem Kupferpreis wieder aufwärts. Im Dezember näherte er sich erstmals seit 2012 der Marke von 8.000 Dollar. Gegenüber dem Jahresbeginn ist das ein Preisanstieg von mehr als 25 Prozent und gegenüber dem Tief im Corona-Crash im März von rund 70 Prozent. </w:t>
      </w:r>
      <w:r w:rsidR="00CA7C24">
        <w:rPr>
          <w:rFonts w:ascii="Roboto Slab" w:hAnsi="Roboto Slab" w:cs="Arial"/>
          <w:lang w:eastAsia="de-DE"/>
        </w:rPr>
        <w:t xml:space="preserve">Entsprechend stieg die Produktion in den Förderländern für Kupfer. Die Grafik zeigt die </w:t>
      </w:r>
      <w:r w:rsidR="00090949">
        <w:rPr>
          <w:rFonts w:ascii="Roboto Slab" w:hAnsi="Roboto Slab" w:cs="Arial"/>
          <w:lang w:eastAsia="de-DE"/>
        </w:rPr>
        <w:t xml:space="preserve">Entwicklung der </w:t>
      </w:r>
      <w:r w:rsidR="00CA7C24">
        <w:rPr>
          <w:rFonts w:ascii="Roboto Slab" w:hAnsi="Roboto Slab" w:cs="Arial"/>
          <w:lang w:eastAsia="de-DE"/>
        </w:rPr>
        <w:t xml:space="preserve">Fördermengen </w:t>
      </w:r>
      <w:r w:rsidR="00090949">
        <w:rPr>
          <w:rFonts w:ascii="Roboto Slab" w:hAnsi="Roboto Slab" w:cs="Arial"/>
          <w:lang w:eastAsia="de-DE"/>
        </w:rPr>
        <w:t>in Chile</w:t>
      </w:r>
      <w:r w:rsidR="00CA7C24">
        <w:rPr>
          <w:rFonts w:ascii="Roboto Slab" w:hAnsi="Roboto Slab" w:cs="Arial"/>
          <w:lang w:eastAsia="de-DE"/>
        </w:rPr>
        <w:t xml:space="preserve">. </w:t>
      </w:r>
    </w:p>
    <w:p w14:paraId="4931E781" w14:textId="797AD48E" w:rsidR="00090949" w:rsidRPr="00007452" w:rsidRDefault="003739CF" w:rsidP="00090949">
      <w:pPr>
        <w:jc w:val="center"/>
        <w:rPr>
          <w:rFonts w:ascii="Roboto Slab" w:hAnsi="Roboto Slab" w:cs="Arial"/>
          <w:lang w:eastAsia="de-DE"/>
        </w:rPr>
      </w:pPr>
      <w:r>
        <w:rPr>
          <w:noProof/>
        </w:rPr>
        <w:drawing>
          <wp:inline distT="0" distB="0" distL="0" distR="0" wp14:anchorId="783932AF" wp14:editId="455A6161">
            <wp:extent cx="4572000" cy="2743200"/>
            <wp:effectExtent l="0" t="0" r="0" b="0"/>
            <wp:docPr id="1" name="Diagramm 1">
              <a:extLst xmlns:a="http://schemas.openxmlformats.org/drawingml/2006/main">
                <a:ext uri="{FF2B5EF4-FFF2-40B4-BE49-F238E27FC236}">
                  <a16:creationId xmlns:a16="http://schemas.microsoft.com/office/drawing/2014/main" id="{213EE89C-74EF-4D08-965E-94D46F33A5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5B46149" w14:textId="427E1AF5" w:rsidR="00007452" w:rsidRPr="003739CF" w:rsidRDefault="003739CF" w:rsidP="00007452">
      <w:pPr>
        <w:jc w:val="both"/>
        <w:rPr>
          <w:rFonts w:ascii="Roboto Slab" w:hAnsi="Roboto Slab" w:cs="Arial"/>
          <w:sz w:val="20"/>
          <w:szCs w:val="20"/>
          <w:lang w:eastAsia="de-DE"/>
        </w:rPr>
      </w:pPr>
      <w:r w:rsidRPr="003739CF">
        <w:rPr>
          <w:rFonts w:ascii="Roboto Slab" w:hAnsi="Roboto Slab" w:cs="Arial"/>
          <w:sz w:val="20"/>
          <w:szCs w:val="20"/>
          <w:lang w:eastAsia="de-DE"/>
        </w:rPr>
        <w:t>Quelle: https://de.statista.com/statistik/daten/studie/665319/umfrage/durchschnittlicher-preis-fuer-kupfer-weltweit-monatlich/</w:t>
      </w:r>
    </w:p>
    <w:p w14:paraId="4404F334" w14:textId="77777777" w:rsidR="00007452" w:rsidRPr="00007452" w:rsidRDefault="00007452" w:rsidP="00007452">
      <w:pPr>
        <w:jc w:val="both"/>
        <w:rPr>
          <w:rFonts w:ascii="Roboto Slab" w:hAnsi="Roboto Slab" w:cs="Arial"/>
          <w:lang w:eastAsia="de-DE"/>
        </w:rPr>
      </w:pPr>
      <w:r w:rsidRPr="00007452">
        <w:rPr>
          <w:rFonts w:ascii="Roboto Slab" w:hAnsi="Roboto Slab" w:cs="Arial"/>
          <w:lang w:eastAsia="de-DE"/>
        </w:rPr>
        <w:t xml:space="preserve">Im Moment sieht es also so aus, als könne die Summe aller Waren und Dienstleistungen, die von der Menschheit produziert und bewertet werden, das Welt-Sozialprodukt, schon im kommenden Jahr höher sein als 2019: Ein Anstieg um 5 bis 6 Prozent reicht, um den Rückgang um etwa 4,5 Prozent in diesem Jahr mehr als nur aufzuholen. Der von der Pandemie erzwungene Rückgang des Welt-Sozialproduktes 2020 markiert eine Ausnahme, die so seit dem zweiten Weltkrieg noch nicht vorgekommen ist. Befürchtungen notorischer Pessimisten und Crash-Gurus, dies könne sich als Beginn einer jahrelangen Wirtschaftskrise erweisen, sind einmal mehr falsch. </w:t>
      </w:r>
    </w:p>
    <w:p w14:paraId="0CF2E8E3" w14:textId="77777777" w:rsidR="00007452" w:rsidRPr="00007452" w:rsidRDefault="00007452" w:rsidP="00007452">
      <w:pPr>
        <w:jc w:val="both"/>
        <w:rPr>
          <w:rFonts w:ascii="Roboto Slab" w:hAnsi="Roboto Slab" w:cs="Arial"/>
          <w:lang w:eastAsia="de-DE"/>
        </w:rPr>
      </w:pPr>
      <w:r w:rsidRPr="00007452">
        <w:rPr>
          <w:rFonts w:ascii="Roboto Slab" w:hAnsi="Roboto Slab" w:cs="Arial"/>
          <w:lang w:eastAsia="de-DE"/>
        </w:rPr>
        <w:lastRenderedPageBreak/>
        <w:t xml:space="preserve">Erste Entscheidungen des gewählten US-Präsidenten Joe Biden wurden an den Börsen positiv aufgenommen, darunter die Nominierung der früheren Notenbankpräsidentin Janet Yellen zur Finanzministerin. An der Wallstreet kletterte der Dow Jones darauf erstmals in seiner Geschichte über 30.000 Punkte. Positiv wurde an den Börsen auch aufgenommen, dass sich die Politik in den USA nun doch auf ein nächstes Hilfspaket einigen könnte. Der Streit zwischen Republikanern und Demokraten hatte bislang weitere Corona-Hilfen blockiert. </w:t>
      </w:r>
    </w:p>
    <w:p w14:paraId="0725A6C8" w14:textId="77777777" w:rsidR="005F5FB9" w:rsidRDefault="00007452" w:rsidP="00007452">
      <w:pPr>
        <w:jc w:val="both"/>
        <w:rPr>
          <w:rFonts w:ascii="Roboto Slab" w:hAnsi="Roboto Slab" w:cs="Arial"/>
          <w:lang w:eastAsia="de-DE"/>
        </w:rPr>
      </w:pPr>
      <w:r w:rsidRPr="00007452">
        <w:rPr>
          <w:rFonts w:ascii="Roboto Slab" w:hAnsi="Roboto Slab" w:cs="Arial"/>
          <w:lang w:eastAsia="de-DE"/>
        </w:rPr>
        <w:t xml:space="preserve">Auch die europäischen Aktienmärkte setzten ihren Aufwärtstrend fort. Allerdings lasteten Sorgen um die stark steigenden Covid-19-Infektionen und ein fehlendes Handelsabkommen mit Großbritannien auf den Börsen, schürt beides doch Sorgen um zusätzliche Belastungen für die Wirtschaft. Dass die Europäische Zentralbank (EZB) ihr Krisen-Programm „PEPP“ noch einmal aufstockte, half da wenig. Die EZB kauft bereits seit langem Anleihen auf und stellt damit Regierungen und der Wirtschaft viele Milliarden Euro nahezu zinslos zur Verfügung. Der Euro-STOXX-50 kletterte dennoch in die Nähe der 3.600 Indexpunkte. Diesen Wert hatte der europäische Leitindex letztmals Anfang März, als der Corona-Crash die europäischen Börsen erfasste. Gegenüber dem Crash-Tiefpunkt bei 2.303 hat sich der Aktienindex um über 50 Prozent erholt. </w:t>
      </w:r>
    </w:p>
    <w:p w14:paraId="11D8B4C9" w14:textId="77777777" w:rsidR="005F5FB9" w:rsidRDefault="005F5FB9" w:rsidP="00007452">
      <w:pPr>
        <w:jc w:val="both"/>
        <w:rPr>
          <w:rFonts w:ascii="Roboto Slab" w:hAnsi="Roboto Slab" w:cs="Arial"/>
          <w:lang w:eastAsia="de-DE"/>
        </w:rPr>
      </w:pPr>
    </w:p>
    <w:p w14:paraId="20BB399F" w14:textId="282B881A" w:rsidR="005F5FB9" w:rsidRDefault="005F5FB9" w:rsidP="005F5FB9">
      <w:pPr>
        <w:jc w:val="center"/>
        <w:rPr>
          <w:rFonts w:ascii="Roboto Slab" w:hAnsi="Roboto Slab" w:cs="Arial"/>
          <w:lang w:eastAsia="de-DE"/>
        </w:rPr>
      </w:pPr>
      <w:r>
        <w:rPr>
          <w:noProof/>
        </w:rPr>
        <w:drawing>
          <wp:inline distT="0" distB="0" distL="0" distR="0" wp14:anchorId="29111E5F" wp14:editId="10C6DC96">
            <wp:extent cx="4572000" cy="2743200"/>
            <wp:effectExtent l="0" t="0" r="0" b="0"/>
            <wp:docPr id="2" name="Diagramm 2">
              <a:extLst xmlns:a="http://schemas.openxmlformats.org/drawingml/2006/main">
                <a:ext uri="{FF2B5EF4-FFF2-40B4-BE49-F238E27FC236}">
                  <a16:creationId xmlns:a16="http://schemas.microsoft.com/office/drawing/2014/main" id="{423450F4-63D0-4CC1-B920-EC50F6122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94E213E" w14:textId="5BAB3DED" w:rsidR="005F5FB9" w:rsidRPr="005F5FB9" w:rsidRDefault="005F5FB9" w:rsidP="00007452">
      <w:pPr>
        <w:jc w:val="both"/>
        <w:rPr>
          <w:rFonts w:ascii="Roboto Slab" w:hAnsi="Roboto Slab" w:cs="Arial"/>
          <w:sz w:val="20"/>
          <w:szCs w:val="20"/>
          <w:lang w:eastAsia="de-DE"/>
        </w:rPr>
      </w:pPr>
      <w:r w:rsidRPr="005F5FB9">
        <w:rPr>
          <w:rFonts w:ascii="Roboto Slab" w:hAnsi="Roboto Slab" w:cs="Arial"/>
          <w:sz w:val="20"/>
          <w:szCs w:val="20"/>
          <w:lang w:eastAsia="de-DE"/>
        </w:rPr>
        <w:t>Quelle: https://de.investing.com/indices/eu-stoxx50-historical-data</w:t>
      </w:r>
    </w:p>
    <w:p w14:paraId="5DDCFB85" w14:textId="499E4F1E" w:rsidR="00007452" w:rsidRPr="00007452" w:rsidRDefault="00007452" w:rsidP="00007452">
      <w:pPr>
        <w:jc w:val="both"/>
        <w:rPr>
          <w:rFonts w:ascii="Roboto Slab" w:hAnsi="Roboto Slab" w:cs="Arial"/>
          <w:lang w:eastAsia="de-DE"/>
        </w:rPr>
      </w:pPr>
      <w:r w:rsidRPr="00007452">
        <w:rPr>
          <w:rFonts w:ascii="Roboto Slab" w:hAnsi="Roboto Slab" w:cs="Arial"/>
          <w:lang w:eastAsia="de-DE"/>
        </w:rPr>
        <w:t>Was im März nach einem schlimmen Verlustjahr für Aktieninvestments aussah, könnte nun für die meisten mit nur kleinen Rückgängen – oder, je nach Fonds, sogar mit Gewinnen enden.</w:t>
      </w:r>
    </w:p>
    <w:p w14:paraId="01A9F9DB" w14:textId="27D81A91" w:rsidR="00007452" w:rsidRDefault="00007452" w:rsidP="00007452">
      <w:pPr>
        <w:jc w:val="both"/>
        <w:rPr>
          <w:rFonts w:cs="Calibri"/>
          <w:sz w:val="24"/>
          <w:szCs w:val="24"/>
          <w:lang w:eastAsia="de-DE"/>
        </w:rPr>
      </w:pPr>
    </w:p>
    <w:p w14:paraId="287FFD27" w14:textId="511F77CA" w:rsidR="00F03440" w:rsidRDefault="00F03440" w:rsidP="00007452">
      <w:pPr>
        <w:jc w:val="both"/>
        <w:rPr>
          <w:rFonts w:cs="Calibri"/>
          <w:sz w:val="24"/>
          <w:szCs w:val="24"/>
          <w:lang w:eastAsia="de-DE"/>
        </w:rPr>
      </w:pPr>
    </w:p>
    <w:p w14:paraId="3F436A2F" w14:textId="77777777" w:rsidR="00F03440" w:rsidRPr="00007452" w:rsidRDefault="00F03440" w:rsidP="00007452">
      <w:pPr>
        <w:jc w:val="both"/>
        <w:rPr>
          <w:rFonts w:cs="Calibri"/>
          <w:sz w:val="24"/>
          <w:szCs w:val="24"/>
          <w:lang w:eastAsia="de-DE"/>
        </w:rPr>
      </w:pPr>
    </w:p>
    <w:p w14:paraId="70E3068B" w14:textId="77777777" w:rsidR="00007452" w:rsidRPr="00007452" w:rsidRDefault="00007452" w:rsidP="00007452">
      <w:pPr>
        <w:jc w:val="both"/>
        <w:rPr>
          <w:rFonts w:ascii="Roboto Slab" w:hAnsi="Roboto Slab" w:cs="Arial"/>
          <w:b/>
          <w:bCs/>
          <w:lang w:eastAsia="de-DE"/>
        </w:rPr>
      </w:pPr>
      <w:r w:rsidRPr="00007452">
        <w:rPr>
          <w:rFonts w:ascii="Roboto Slab" w:hAnsi="Roboto Slab" w:cs="Arial"/>
          <w:b/>
          <w:bCs/>
          <w:lang w:eastAsia="de-DE"/>
        </w:rPr>
        <w:lastRenderedPageBreak/>
        <w:t>Die Letzten werden die Ersten sein</w:t>
      </w:r>
    </w:p>
    <w:p w14:paraId="507F0758" w14:textId="6DCC02D8" w:rsidR="00007452" w:rsidRPr="00007452" w:rsidRDefault="00007452" w:rsidP="00007452">
      <w:pPr>
        <w:jc w:val="both"/>
        <w:rPr>
          <w:rFonts w:ascii="Roboto Slab" w:hAnsi="Roboto Slab" w:cs="Arial"/>
          <w:lang w:eastAsia="de-DE"/>
        </w:rPr>
      </w:pPr>
      <w:r w:rsidRPr="00007452">
        <w:rPr>
          <w:rFonts w:ascii="Roboto Slab" w:hAnsi="Roboto Slab" w:cs="Arial"/>
          <w:u w:val="single"/>
          <w:lang w:eastAsia="de-DE"/>
        </w:rPr>
        <w:t>Nicht alle Aktien steigen und fallen gleich stark.</w:t>
      </w:r>
      <w:r w:rsidRPr="00007452">
        <w:rPr>
          <w:rFonts w:ascii="Roboto Slab" w:hAnsi="Roboto Slab" w:cs="Arial"/>
          <w:lang w:eastAsia="de-DE"/>
        </w:rPr>
        <w:t xml:space="preserve"> Auch wenn sich häufig die Masse der Aktien in die gleiche Richtung bewegt, entstehen doch im Laufe der Zeit große Unterschiede zwischen den favorisierten „Lieblingen“ und Aktien, die bei den meisten Anlegern in Ungnade fallen. In diesem Jahr galt letzteres vor allem für Aktien aus den Branchen, die unter der Corona-Pandemie litten, also Reise und Tourismus, Fluggesellschaften, Hotels, Gastronomie und Unternehmen, die ihr Geld mit Großveranstaltungen verdienen. Auch eine höhere Konjunkturabhängigkeit wurde in der Corona-Krise zum Bremsklotz. </w:t>
      </w:r>
    </w:p>
    <w:p w14:paraId="3449A24C" w14:textId="77777777" w:rsidR="00007452" w:rsidRPr="00007452" w:rsidRDefault="00007452" w:rsidP="00007452">
      <w:pPr>
        <w:jc w:val="both"/>
        <w:rPr>
          <w:rFonts w:ascii="Roboto Slab" w:hAnsi="Roboto Slab" w:cs="Arial"/>
          <w:lang w:eastAsia="de-DE"/>
        </w:rPr>
      </w:pPr>
      <w:r w:rsidRPr="00007452">
        <w:rPr>
          <w:rFonts w:ascii="Roboto Slab" w:hAnsi="Roboto Slab" w:cs="Arial"/>
          <w:u w:val="single"/>
          <w:lang w:eastAsia="de-DE"/>
        </w:rPr>
        <w:t>Zu den Gewinnern gehörten dagegen seit dem Ausbruch der Pandemie alle Unternehmen, die ihre Geschäfte internet-basiert abwickeln können.</w:t>
      </w:r>
      <w:r w:rsidRPr="00007452">
        <w:rPr>
          <w:rFonts w:ascii="Roboto Slab" w:hAnsi="Roboto Slab" w:cs="Arial"/>
          <w:lang w:eastAsia="de-DE"/>
        </w:rPr>
        <w:t xml:space="preserve"> Wer seine Leistungen online anbieten kann, ob Waren, Informationen, Unterhaltung oder Werbung, verzeichnete als Profiteur der Pandemie Kursgewinne. </w:t>
      </w:r>
    </w:p>
    <w:p w14:paraId="545C15BC" w14:textId="77777777" w:rsidR="00147A71" w:rsidRDefault="00007452" w:rsidP="00007452">
      <w:pPr>
        <w:jc w:val="both"/>
        <w:rPr>
          <w:rFonts w:ascii="Roboto Slab" w:hAnsi="Roboto Slab" w:cs="Arial"/>
          <w:lang w:eastAsia="de-DE"/>
        </w:rPr>
      </w:pPr>
      <w:r w:rsidRPr="00007452">
        <w:rPr>
          <w:rFonts w:ascii="Roboto Slab" w:hAnsi="Roboto Slab" w:cs="Arial"/>
          <w:u w:val="single"/>
          <w:lang w:eastAsia="de-DE"/>
        </w:rPr>
        <w:t>Deshalb kann es nicht verwundern, dass sich diese Schere seit Anfang November begonnen hat zu schließen</w:t>
      </w:r>
      <w:r w:rsidRPr="00007452">
        <w:rPr>
          <w:rFonts w:ascii="Roboto Slab" w:hAnsi="Roboto Slab" w:cs="Arial"/>
          <w:lang w:eastAsia="de-DE"/>
        </w:rPr>
        <w:t xml:space="preserve">: Viele Aktien, die im Jahresverlauf stark gelitten hatten, setzten in der ersten Novemberhälfte zu einer Aufholjagd an. Allein am 9. November verzeichneten viele dieser Aktien unter dem Eindruck der Nachricht, dass es einen Impfstoff gegen das Corona-Virus gibt, prozentual zweistellige Kursgewinne. Viele professionelle Marktbeobachter sprechen von einer „Rotation in zyklische Aktien“, also erhöhter Nachfrage nach Aktien von Unternehmen, die stärker von der Konjunktur abhängig sind. </w:t>
      </w:r>
    </w:p>
    <w:p w14:paraId="75B14EC0" w14:textId="77777777" w:rsidR="00147A71" w:rsidRDefault="00147A71" w:rsidP="00147A71">
      <w:pPr>
        <w:jc w:val="center"/>
        <w:rPr>
          <w:rFonts w:ascii="Roboto Slab" w:hAnsi="Roboto Slab" w:cs="Arial"/>
          <w:lang w:eastAsia="de-DE"/>
        </w:rPr>
      </w:pPr>
      <w:r>
        <w:rPr>
          <w:noProof/>
        </w:rPr>
        <w:drawing>
          <wp:inline distT="0" distB="0" distL="0" distR="0" wp14:anchorId="10F2AA23" wp14:editId="4875B876">
            <wp:extent cx="4572000" cy="2743200"/>
            <wp:effectExtent l="0" t="0" r="0" b="0"/>
            <wp:docPr id="4" name="Diagramm 4">
              <a:extLst xmlns:a="http://schemas.openxmlformats.org/drawingml/2006/main">
                <a:ext uri="{FF2B5EF4-FFF2-40B4-BE49-F238E27FC236}">
                  <a16:creationId xmlns:a16="http://schemas.microsoft.com/office/drawing/2014/main" id="{BC776537-3554-4F6F-A950-A7D937DFE4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271B94" w14:textId="77777777" w:rsidR="00147A71" w:rsidRPr="009F20B9" w:rsidRDefault="00147A71" w:rsidP="00147A71">
      <w:pPr>
        <w:spacing w:after="120" w:line="240" w:lineRule="auto"/>
        <w:jc w:val="both"/>
        <w:rPr>
          <w:rFonts w:ascii="Roboto Slab" w:hAnsi="Roboto Slab" w:cs="Arial"/>
          <w:sz w:val="18"/>
          <w:szCs w:val="18"/>
          <w:lang w:eastAsia="de-DE"/>
        </w:rPr>
      </w:pPr>
      <w:r w:rsidRPr="009F20B9">
        <w:rPr>
          <w:rFonts w:ascii="Roboto Slab" w:hAnsi="Roboto Slab" w:cs="Arial"/>
          <w:sz w:val="18"/>
          <w:szCs w:val="18"/>
          <w:lang w:eastAsia="de-DE"/>
        </w:rPr>
        <w:t>https://www.onvista.de/index/MSCI-AC-WORLD-GROWTH-GDTR-UHD-Index-10361112</w:t>
      </w:r>
    </w:p>
    <w:p w14:paraId="2D59D21C" w14:textId="77777777" w:rsidR="00147A71" w:rsidRPr="009F20B9" w:rsidRDefault="00147A71" w:rsidP="00147A71">
      <w:pPr>
        <w:spacing w:after="120" w:line="240" w:lineRule="auto"/>
        <w:jc w:val="both"/>
        <w:rPr>
          <w:rFonts w:ascii="Roboto Slab" w:hAnsi="Roboto Slab" w:cs="Arial"/>
          <w:sz w:val="18"/>
          <w:szCs w:val="18"/>
          <w:lang w:eastAsia="de-DE"/>
        </w:rPr>
      </w:pPr>
      <w:r w:rsidRPr="009F20B9">
        <w:rPr>
          <w:rFonts w:ascii="Roboto Slab" w:hAnsi="Roboto Slab" w:cs="Arial"/>
          <w:sz w:val="18"/>
          <w:szCs w:val="18"/>
          <w:lang w:eastAsia="de-DE"/>
        </w:rPr>
        <w:t>https://www.onvista.de/index/MSCI-THE-WORLD-VALUE-GDTR-UHD-Index-10360197</w:t>
      </w:r>
    </w:p>
    <w:p w14:paraId="69DE51BD" w14:textId="77777777" w:rsidR="00147A71" w:rsidRDefault="00147A71" w:rsidP="00147A71">
      <w:pPr>
        <w:jc w:val="both"/>
        <w:rPr>
          <w:rFonts w:ascii="Roboto Slab" w:hAnsi="Roboto Slab" w:cs="Arial"/>
          <w:lang w:eastAsia="de-DE"/>
        </w:rPr>
      </w:pPr>
    </w:p>
    <w:p w14:paraId="7441F2A0" w14:textId="77777777" w:rsidR="00147A71" w:rsidRPr="00007452" w:rsidRDefault="00147A71" w:rsidP="00007452">
      <w:pPr>
        <w:jc w:val="both"/>
        <w:rPr>
          <w:rFonts w:ascii="Roboto Slab" w:hAnsi="Roboto Slab" w:cs="Arial"/>
          <w:lang w:eastAsia="de-DE"/>
        </w:rPr>
      </w:pPr>
    </w:p>
    <w:p w14:paraId="3233E0C5" w14:textId="77777777" w:rsidR="00147A71" w:rsidRDefault="00147A71" w:rsidP="00147A71">
      <w:pPr>
        <w:jc w:val="both"/>
        <w:rPr>
          <w:rFonts w:ascii="Roboto Slab" w:hAnsi="Roboto Slab" w:cs="Arial"/>
          <w:lang w:eastAsia="de-DE"/>
        </w:rPr>
      </w:pPr>
      <w:r w:rsidRPr="00007452">
        <w:rPr>
          <w:rFonts w:ascii="Roboto Slab" w:hAnsi="Roboto Slab" w:cs="Arial"/>
          <w:lang w:eastAsia="de-DE"/>
        </w:rPr>
        <w:lastRenderedPageBreak/>
        <w:t xml:space="preserve">Die Schere zwischen den favorisierten Wachstums- und Technologieaktien einerseits und konjunkturabhängigen Substanzaktien ist also noch sehr weit geöffnet. </w:t>
      </w:r>
    </w:p>
    <w:p w14:paraId="516AAAB8" w14:textId="77777777" w:rsidR="00007452" w:rsidRPr="00007452" w:rsidRDefault="00007452" w:rsidP="00007452">
      <w:pPr>
        <w:jc w:val="both"/>
        <w:rPr>
          <w:rFonts w:ascii="Roboto Slab" w:hAnsi="Roboto Slab" w:cs="Arial"/>
          <w:lang w:eastAsia="de-DE"/>
        </w:rPr>
      </w:pPr>
      <w:r w:rsidRPr="00007452">
        <w:rPr>
          <w:rFonts w:ascii="Roboto Slab" w:hAnsi="Roboto Slab" w:cs="Arial"/>
          <w:u w:val="single"/>
          <w:lang w:eastAsia="de-DE"/>
        </w:rPr>
        <w:t>In den westlichen Volkswirtschaften laufen die großen Impfkampagnen gegen den SARS-CoV-2-Virus an</w:t>
      </w:r>
      <w:r w:rsidRPr="00007452">
        <w:rPr>
          <w:rFonts w:ascii="Roboto Slab" w:hAnsi="Roboto Slab" w:cs="Arial"/>
          <w:lang w:eastAsia="de-DE"/>
        </w:rPr>
        <w:t>. Auch wenn das Erreichen einer Herdenimmunität erst im späteren Jahresverlauf 2021 möglich sein wird, dürften die nach dem Jahreswechsel anstehenden Überlegungen von Investoren unter diesen Vorzeichen stehen. Wenn die Aussichten für konjunkturabhängige Aktien dabei besser eingeschätzt werden, sollten diese tatsächlich noch über viel Kurspotenzial verfügen. Schon seit 2018 haben viele Investoren aus Angst um die Konjunktur sogenannte „Qualitäts-“ und „Wachstums-Aktien“ bevorzugt und oft konjunkturabhängige Aktien gemieden. Der Spielraum für Umschichtungen ist also noch groß. Insofern könnten einige der Fonds, die seit 2018 unterdurchschnittlich abgeschnitten haben, sich 2021 überdurchschnittlich entwickeln.</w:t>
      </w:r>
    </w:p>
    <w:p w14:paraId="04244025" w14:textId="77777777" w:rsidR="00007452" w:rsidRPr="00007452" w:rsidRDefault="00007452" w:rsidP="00007452">
      <w:pPr>
        <w:jc w:val="both"/>
        <w:rPr>
          <w:rFonts w:ascii="Roboto Slab" w:hAnsi="Roboto Slab" w:cs="Arial"/>
          <w:b/>
          <w:bCs/>
          <w:lang w:eastAsia="de-DE"/>
        </w:rPr>
      </w:pPr>
    </w:p>
    <w:p w14:paraId="4CA1EEB4" w14:textId="77777777" w:rsidR="005F5B62" w:rsidRDefault="005F5B62" w:rsidP="005F5B62">
      <w:pPr>
        <w:pStyle w:val="Textkrper2"/>
        <w:spacing w:after="200" w:line="276" w:lineRule="auto"/>
        <w:rPr>
          <w:szCs w:val="22"/>
        </w:rPr>
      </w:pPr>
    </w:p>
    <w:p w14:paraId="7B4F3CC0" w14:textId="124514F3" w:rsidR="00E341A1" w:rsidRPr="00B75733" w:rsidRDefault="005F5B62">
      <w:pPr>
        <w:rPr>
          <w:rFonts w:ascii="Arial" w:hAnsi="Arial" w:cs="Arial"/>
        </w:rPr>
      </w:pPr>
      <w:r w:rsidRPr="00FD1A8A">
        <w:rPr>
          <w:rFonts w:ascii="Arial" w:hAnsi="Arial" w:cs="Arial"/>
          <w:b/>
          <w:color w:val="000000"/>
          <w:sz w:val="12"/>
          <w:szCs w:val="12"/>
        </w:rPr>
        <w:t xml:space="preserve">Disclaimer: </w:t>
      </w:r>
      <w:r w:rsidRPr="00FD1A8A">
        <w:rPr>
          <w:rFonts w:ascii="Arial" w:hAnsi="Arial" w:cs="Arial"/>
          <w:color w:val="000000"/>
          <w:sz w:val="12"/>
          <w:szCs w:val="12"/>
        </w:rPr>
        <w:t xml:space="preserve">Der vorliegende Bericht wurde von der BCA AG auf der Grundlage öffentlich zugänglicher Informationen erstellt. Hinsichtlich der von Dritten hinzu-gezogenen Informationen und Quellen hat die BCA AG nur eine Auswahl getroffen. Für die Richtigkeit, Aktualität und Vollständigkeit der von Dritten erhaltenen bzw. beigezogenen Informationen, Quellen und Analyseergebnisse übernimmt die BCA AG keine Haftung. Die Darstellung erfolgt insoweit aus rein informatorischen Zwecken. Alle Aussagen in dem Bericht können sich jederzeit unangekündigt ändern. Die BCA AG trifft insoweit keine Verpflichtung, den Bericht zu aktualisieren. Die in dem Bericht enthaltenen Informationen sind daher weder als Angebot zur Anschaffung oder zur Veräußerung von Investmentanteilen oder anderen Finanzinstrumenten oder zur Vermittlung solcher Geschäfte oder anderer </w:t>
      </w:r>
      <w:r w:rsidR="00147A71">
        <w:rPr>
          <w:rFonts w:ascii="Arial" w:hAnsi="Arial" w:cs="Arial"/>
          <w:color w:val="000000"/>
          <w:sz w:val="12"/>
          <w:szCs w:val="12"/>
        </w:rPr>
        <w:t>w</w:t>
      </w:r>
      <w:r w:rsidRPr="00FD1A8A">
        <w:rPr>
          <w:rFonts w:ascii="Arial" w:hAnsi="Arial" w:cs="Arial"/>
          <w:color w:val="000000"/>
          <w:sz w:val="12"/>
          <w:szCs w:val="12"/>
        </w:rPr>
        <w:t>ertpapierbezogener Dienstleistungen zu verstehen. Der Bericht stellt insbesondere auch keine Anlageberatung dar. Die Angaben in dem Bericht ersetzen nicht eine individuelle anleger- und anlagegerechte Beratung.</w:t>
      </w:r>
    </w:p>
    <w:sectPr w:rsidR="00E341A1" w:rsidRPr="00B75733" w:rsidSect="00984946">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Arial"/>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62"/>
    <w:rsid w:val="00007452"/>
    <w:rsid w:val="00090949"/>
    <w:rsid w:val="000E4E54"/>
    <w:rsid w:val="00147A71"/>
    <w:rsid w:val="002E4DF2"/>
    <w:rsid w:val="00313406"/>
    <w:rsid w:val="003739CF"/>
    <w:rsid w:val="003D2CC7"/>
    <w:rsid w:val="00412257"/>
    <w:rsid w:val="0056118D"/>
    <w:rsid w:val="005D42C0"/>
    <w:rsid w:val="005F5B62"/>
    <w:rsid w:val="005F5FB9"/>
    <w:rsid w:val="005F7691"/>
    <w:rsid w:val="0063240A"/>
    <w:rsid w:val="00682F1D"/>
    <w:rsid w:val="00731F10"/>
    <w:rsid w:val="00750969"/>
    <w:rsid w:val="00836FC1"/>
    <w:rsid w:val="008A10CE"/>
    <w:rsid w:val="008D3E7F"/>
    <w:rsid w:val="009F20B9"/>
    <w:rsid w:val="00A4202C"/>
    <w:rsid w:val="00A461B2"/>
    <w:rsid w:val="00B75733"/>
    <w:rsid w:val="00BB03C3"/>
    <w:rsid w:val="00CA7C24"/>
    <w:rsid w:val="00DE65F8"/>
    <w:rsid w:val="00E341A1"/>
    <w:rsid w:val="00EC19F7"/>
    <w:rsid w:val="00F03440"/>
    <w:rsid w:val="00F225C4"/>
    <w:rsid w:val="00FB4CD9"/>
    <w:rsid w:val="00FC7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BDCF"/>
  <w15:docId w15:val="{F52E3DB9-BC25-43C8-A041-D706ED0C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5B62"/>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5F5B62"/>
    <w:pPr>
      <w:spacing w:after="0" w:line="240" w:lineRule="auto"/>
      <w:jc w:val="both"/>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5F5B62"/>
    <w:rPr>
      <w:rFonts w:ascii="Arial" w:eastAsia="Times New Roman" w:hAnsi="Arial" w:cs="Arial"/>
      <w:szCs w:val="24"/>
      <w:lang w:eastAsia="de-DE"/>
    </w:rPr>
  </w:style>
  <w:style w:type="paragraph" w:styleId="Textkrper">
    <w:name w:val="Body Text"/>
    <w:basedOn w:val="Standard"/>
    <w:link w:val="TextkrperZchn"/>
    <w:rsid w:val="005F5B62"/>
    <w:pPr>
      <w:spacing w:after="120" w:line="240" w:lineRule="auto"/>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5F5B62"/>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F5B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5B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2082">
      <w:bodyDiv w:val="1"/>
      <w:marLeft w:val="0"/>
      <w:marRight w:val="0"/>
      <w:marTop w:val="0"/>
      <w:marBottom w:val="0"/>
      <w:divBdr>
        <w:top w:val="none" w:sz="0" w:space="0" w:color="auto"/>
        <w:left w:val="none" w:sz="0" w:space="0" w:color="auto"/>
        <w:bottom w:val="none" w:sz="0" w:space="0" w:color="auto"/>
        <w:right w:val="none" w:sz="0" w:space="0" w:color="auto"/>
      </w:divBdr>
    </w:div>
    <w:div w:id="189949991">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511485221">
      <w:bodyDiv w:val="1"/>
      <w:marLeft w:val="0"/>
      <w:marRight w:val="0"/>
      <w:marTop w:val="0"/>
      <w:marBottom w:val="0"/>
      <w:divBdr>
        <w:top w:val="none" w:sz="0" w:space="0" w:color="auto"/>
        <w:left w:val="none" w:sz="0" w:space="0" w:color="auto"/>
        <w:bottom w:val="none" w:sz="0" w:space="0" w:color="auto"/>
        <w:right w:val="none" w:sz="0" w:space="0" w:color="auto"/>
      </w:divBdr>
    </w:div>
    <w:div w:id="17662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bfv-ag\dfs\Dokumente\Investment%20Research\Drescher%20und%20BfV-B2C%20Kommunikation%20operativ%20ab%202020\Monatsbericht_Format%20&#220;brigens\Monatsbericht%20202012%20per%20Ende%20Dezember\Kuper%20und%20C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fv-ag\dfs\Dokumente\Investment%20Research\Drescher%20und%20BfV-B2C%20Kommunikation%20operativ%20ab%202020\Monatsbericht_Format%20&#220;brigens\Monatsbericht%20202012%20per%20Ende%20Dezember\Kuper%20und%20C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fv-ag\dfs\Dokumente\Investment%20Research\Drescher%20und%20BfV-B2C%20Kommunikation%20operativ%20ab%202020\Monatsbericht_Format%20&#220;brigens\Monatsbericht%20202012%20per%20Ende%20Dezember\Kuper%20und%20Co..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cked"/>
        <c:varyColors val="0"/>
        <c:ser>
          <c:idx val="0"/>
          <c:order val="0"/>
          <c:tx>
            <c:strRef>
              <c:f>'[Kuper und Co..xlsx]Tabelle1'!$B$3</c:f>
              <c:strCache>
                <c:ptCount val="1"/>
                <c:pt idx="0">
                  <c:v>Durchschn. Kupferpreis in US-Dollar/Tonne</c:v>
                </c:pt>
              </c:strCache>
            </c:strRef>
          </c:tx>
          <c:spPr>
            <a:ln w="28575" cap="rnd">
              <a:solidFill>
                <a:schemeClr val="accent1"/>
              </a:solidFill>
              <a:round/>
            </a:ln>
            <a:effectLst/>
          </c:spPr>
          <c:marker>
            <c:symbol val="none"/>
          </c:marker>
          <c:cat>
            <c:strRef>
              <c:f>'[Kuper und Co..xlsx]Tabelle1'!$A$4:$A$13</c:f>
              <c:strCache>
                <c:ptCount val="10"/>
                <c:pt idx="0">
                  <c:v>2020-01</c:v>
                </c:pt>
                <c:pt idx="1">
                  <c:v>2020-02</c:v>
                </c:pt>
                <c:pt idx="2">
                  <c:v>2020-03</c:v>
                </c:pt>
                <c:pt idx="3">
                  <c:v>2020-04</c:v>
                </c:pt>
                <c:pt idx="4">
                  <c:v>2020-05</c:v>
                </c:pt>
                <c:pt idx="5">
                  <c:v>2020-06</c:v>
                </c:pt>
                <c:pt idx="6">
                  <c:v>2020-07</c:v>
                </c:pt>
                <c:pt idx="7">
                  <c:v>2020-08</c:v>
                </c:pt>
                <c:pt idx="8">
                  <c:v>2020-09</c:v>
                </c:pt>
                <c:pt idx="9">
                  <c:v>2020-10</c:v>
                </c:pt>
              </c:strCache>
            </c:strRef>
          </c:cat>
          <c:val>
            <c:numRef>
              <c:f>'[Kuper und Co..xlsx]Tabelle1'!$B$4:$B$13</c:f>
              <c:numCache>
                <c:formatCode>#,##0</c:formatCode>
                <c:ptCount val="10"/>
                <c:pt idx="0">
                  <c:v>6031</c:v>
                </c:pt>
                <c:pt idx="1">
                  <c:v>5687</c:v>
                </c:pt>
                <c:pt idx="2">
                  <c:v>5182</c:v>
                </c:pt>
                <c:pt idx="3">
                  <c:v>5057</c:v>
                </c:pt>
                <c:pt idx="4">
                  <c:v>5239</c:v>
                </c:pt>
                <c:pt idx="5">
                  <c:v>5754</c:v>
                </c:pt>
                <c:pt idx="6">
                  <c:v>6372</c:v>
                </c:pt>
                <c:pt idx="7">
                  <c:v>6498</c:v>
                </c:pt>
                <c:pt idx="8">
                  <c:v>6704</c:v>
                </c:pt>
                <c:pt idx="9">
                  <c:v>7613</c:v>
                </c:pt>
              </c:numCache>
            </c:numRef>
          </c:val>
          <c:smooth val="0"/>
          <c:extLst>
            <c:ext xmlns:c16="http://schemas.microsoft.com/office/drawing/2014/chart" uri="{C3380CC4-5D6E-409C-BE32-E72D297353CC}">
              <c16:uniqueId val="{00000000-F044-4CB8-8C47-DE10A602CD84}"/>
            </c:ext>
          </c:extLst>
        </c:ser>
        <c:dLbls>
          <c:showLegendKey val="0"/>
          <c:showVal val="0"/>
          <c:showCatName val="0"/>
          <c:showSerName val="0"/>
          <c:showPercent val="0"/>
          <c:showBubbleSize val="0"/>
        </c:dLbls>
        <c:smooth val="0"/>
        <c:axId val="558024440"/>
        <c:axId val="558017552"/>
      </c:lineChart>
      <c:catAx>
        <c:axId val="558024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58017552"/>
        <c:crosses val="autoZero"/>
        <c:auto val="1"/>
        <c:lblAlgn val="ctr"/>
        <c:lblOffset val="100"/>
        <c:noMultiLvlLbl val="0"/>
      </c:catAx>
      <c:valAx>
        <c:axId val="558017552"/>
        <c:scaling>
          <c:orientation val="minMax"/>
          <c:min val="4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58024440"/>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cked"/>
        <c:varyColors val="0"/>
        <c:ser>
          <c:idx val="0"/>
          <c:order val="0"/>
          <c:tx>
            <c:strRef>
              <c:f>'[Kuper und Co..xlsx]Tabelle1'!$B$29</c:f>
              <c:strCache>
                <c:ptCount val="1"/>
                <c:pt idx="0">
                  <c:v>Euro Stoxx 50 Schlusskurs</c:v>
                </c:pt>
              </c:strCache>
            </c:strRef>
          </c:tx>
          <c:spPr>
            <a:ln w="28575" cap="rnd">
              <a:solidFill>
                <a:schemeClr val="accent1"/>
              </a:solidFill>
              <a:round/>
            </a:ln>
            <a:effectLst/>
          </c:spPr>
          <c:marker>
            <c:symbol val="none"/>
          </c:marker>
          <c:cat>
            <c:numRef>
              <c:f>'[Kuper und Co..xlsx]Tabelle1'!$A$30:$A$43</c:f>
              <c:numCache>
                <c:formatCode>m/d/yyyy</c:formatCode>
                <c:ptCount val="14"/>
                <c:pt idx="0">
                  <c:v>44193</c:v>
                </c:pt>
                <c:pt idx="1">
                  <c:v>44165</c:v>
                </c:pt>
                <c:pt idx="2">
                  <c:v>44134</c:v>
                </c:pt>
                <c:pt idx="3">
                  <c:v>44104</c:v>
                </c:pt>
                <c:pt idx="4">
                  <c:v>44074</c:v>
                </c:pt>
                <c:pt idx="5">
                  <c:v>44043</c:v>
                </c:pt>
                <c:pt idx="6">
                  <c:v>44012</c:v>
                </c:pt>
                <c:pt idx="7">
                  <c:v>43980</c:v>
                </c:pt>
                <c:pt idx="8">
                  <c:v>43951</c:v>
                </c:pt>
                <c:pt idx="9">
                  <c:v>43921</c:v>
                </c:pt>
                <c:pt idx="10">
                  <c:v>43889</c:v>
                </c:pt>
                <c:pt idx="11">
                  <c:v>43861</c:v>
                </c:pt>
                <c:pt idx="12">
                  <c:v>43832</c:v>
                </c:pt>
                <c:pt idx="13">
                  <c:v>43826</c:v>
                </c:pt>
              </c:numCache>
            </c:numRef>
          </c:cat>
          <c:val>
            <c:numRef>
              <c:f>'[Kuper und Co..xlsx]Tabelle1'!$B$30:$B$43</c:f>
              <c:numCache>
                <c:formatCode>#,##0</c:formatCode>
                <c:ptCount val="14"/>
                <c:pt idx="0">
                  <c:v>3578.65</c:v>
                </c:pt>
                <c:pt idx="1">
                  <c:v>3492.54</c:v>
                </c:pt>
                <c:pt idx="2">
                  <c:v>2958.21</c:v>
                </c:pt>
                <c:pt idx="3">
                  <c:v>3193.61</c:v>
                </c:pt>
                <c:pt idx="4">
                  <c:v>3272.51</c:v>
                </c:pt>
                <c:pt idx="5">
                  <c:v>3174.32</c:v>
                </c:pt>
                <c:pt idx="6">
                  <c:v>3234.07</c:v>
                </c:pt>
                <c:pt idx="7">
                  <c:v>3050.2</c:v>
                </c:pt>
                <c:pt idx="8">
                  <c:v>2927.93</c:v>
                </c:pt>
                <c:pt idx="9">
                  <c:v>2786.9</c:v>
                </c:pt>
                <c:pt idx="10">
                  <c:v>3329.49</c:v>
                </c:pt>
                <c:pt idx="11">
                  <c:v>3640.91</c:v>
                </c:pt>
                <c:pt idx="12">
                  <c:v>3793.24</c:v>
                </c:pt>
                <c:pt idx="13">
                  <c:v>3782</c:v>
                </c:pt>
              </c:numCache>
            </c:numRef>
          </c:val>
          <c:smooth val="0"/>
          <c:extLst>
            <c:ext xmlns:c16="http://schemas.microsoft.com/office/drawing/2014/chart" uri="{C3380CC4-5D6E-409C-BE32-E72D297353CC}">
              <c16:uniqueId val="{00000000-E3C2-4063-9BF7-55EFCFC2A3B0}"/>
            </c:ext>
          </c:extLst>
        </c:ser>
        <c:dLbls>
          <c:showLegendKey val="0"/>
          <c:showVal val="0"/>
          <c:showCatName val="0"/>
          <c:showSerName val="0"/>
          <c:showPercent val="0"/>
          <c:showBubbleSize val="0"/>
        </c:dLbls>
        <c:smooth val="0"/>
        <c:axId val="636908456"/>
        <c:axId val="636911080"/>
      </c:lineChart>
      <c:dateAx>
        <c:axId val="63690845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36911080"/>
        <c:crosses val="autoZero"/>
        <c:auto val="1"/>
        <c:lblOffset val="100"/>
        <c:baseTimeUnit val="days"/>
      </c:dateAx>
      <c:valAx>
        <c:axId val="636911080"/>
        <c:scaling>
          <c:orientation val="minMax"/>
          <c:min val="25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36908456"/>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Roboto Slab" pitchFamily="2" charset="0"/>
                <a:ea typeface="Roboto Slab" pitchFamily="2" charset="0"/>
                <a:cs typeface="+mn-cs"/>
              </a:defRPr>
            </a:pPr>
            <a:r>
              <a:rPr lang="de-DE" sz="1100">
                <a:latin typeface="Roboto Slab" pitchFamily="2" charset="0"/>
                <a:ea typeface="Roboto Slab" pitchFamily="2" charset="0"/>
              </a:rPr>
              <a:t>MSCI</a:t>
            </a:r>
            <a:r>
              <a:rPr lang="de-DE" sz="1100" baseline="0">
                <a:latin typeface="Roboto Slab" pitchFamily="2" charset="0"/>
                <a:ea typeface="Roboto Slab" pitchFamily="2" charset="0"/>
              </a:rPr>
              <a:t> Welt: Wachstumsaktien- und Substansaktienindex</a:t>
            </a:r>
            <a:endParaRPr lang="de-DE" sz="1100">
              <a:latin typeface="Roboto Slab" pitchFamily="2" charset="0"/>
              <a:ea typeface="Roboto Slab" pitchFamily="2"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Roboto Slab" pitchFamily="2" charset="0"/>
              <a:ea typeface="Roboto Slab" pitchFamily="2" charset="0"/>
              <a:cs typeface="+mn-cs"/>
            </a:defRPr>
          </a:pPr>
          <a:endParaRPr lang="de-DE"/>
        </a:p>
      </c:txPr>
    </c:title>
    <c:autoTitleDeleted val="0"/>
    <c:plotArea>
      <c:layout/>
      <c:barChart>
        <c:barDir val="col"/>
        <c:grouping val="clustered"/>
        <c:varyColors val="0"/>
        <c:ser>
          <c:idx val="0"/>
          <c:order val="0"/>
          <c:tx>
            <c:strRef>
              <c:f>Tabelle1!$A$48</c:f>
              <c:strCache>
                <c:ptCount val="1"/>
                <c:pt idx="0">
                  <c:v>MSCI World Growth</c:v>
                </c:pt>
              </c:strCache>
            </c:strRef>
          </c:tx>
          <c:spPr>
            <a:solidFill>
              <a:schemeClr val="accent1"/>
            </a:solidFill>
            <a:ln>
              <a:noFill/>
            </a:ln>
            <a:effectLst/>
          </c:spPr>
          <c:invertIfNegative val="0"/>
          <c:cat>
            <c:strRef>
              <c:f>Tabelle1!$B$47:$C$47</c:f>
              <c:strCache>
                <c:ptCount val="2"/>
                <c:pt idx="0">
                  <c:v>Performance letzte 3 Monate </c:v>
                </c:pt>
                <c:pt idx="1">
                  <c:v>Performance letzte 12 Monate </c:v>
                </c:pt>
              </c:strCache>
            </c:strRef>
          </c:cat>
          <c:val>
            <c:numRef>
              <c:f>Tabelle1!$B$48:$C$48</c:f>
              <c:numCache>
                <c:formatCode>0.00%</c:formatCode>
                <c:ptCount val="2"/>
                <c:pt idx="0">
                  <c:v>0.1139</c:v>
                </c:pt>
                <c:pt idx="1">
                  <c:v>0.31669999999999998</c:v>
                </c:pt>
              </c:numCache>
            </c:numRef>
          </c:val>
          <c:extLst>
            <c:ext xmlns:c16="http://schemas.microsoft.com/office/drawing/2014/chart" uri="{C3380CC4-5D6E-409C-BE32-E72D297353CC}">
              <c16:uniqueId val="{00000000-AEB2-4FBA-8134-7E26C3F7E097}"/>
            </c:ext>
          </c:extLst>
        </c:ser>
        <c:ser>
          <c:idx val="1"/>
          <c:order val="1"/>
          <c:tx>
            <c:strRef>
              <c:f>Tabelle1!$A$49</c:f>
              <c:strCache>
                <c:ptCount val="1"/>
                <c:pt idx="0">
                  <c:v>MSCI World Value</c:v>
                </c:pt>
              </c:strCache>
            </c:strRef>
          </c:tx>
          <c:spPr>
            <a:solidFill>
              <a:schemeClr val="accent2"/>
            </a:solidFill>
            <a:ln>
              <a:noFill/>
            </a:ln>
            <a:effectLst/>
          </c:spPr>
          <c:invertIfNegative val="0"/>
          <c:cat>
            <c:strRef>
              <c:f>Tabelle1!$B$47:$C$47</c:f>
              <c:strCache>
                <c:ptCount val="2"/>
                <c:pt idx="0">
                  <c:v>Performance letzte 3 Monate </c:v>
                </c:pt>
                <c:pt idx="1">
                  <c:v>Performance letzte 12 Monate </c:v>
                </c:pt>
              </c:strCache>
            </c:strRef>
          </c:cat>
          <c:val>
            <c:numRef>
              <c:f>Tabelle1!$B$49:$C$49</c:f>
              <c:numCache>
                <c:formatCode>0.00%</c:formatCode>
                <c:ptCount val="2"/>
                <c:pt idx="0">
                  <c:v>0.1419</c:v>
                </c:pt>
                <c:pt idx="1">
                  <c:v>-2.5100000000000001E-2</c:v>
                </c:pt>
              </c:numCache>
            </c:numRef>
          </c:val>
          <c:extLst>
            <c:ext xmlns:c16="http://schemas.microsoft.com/office/drawing/2014/chart" uri="{C3380CC4-5D6E-409C-BE32-E72D297353CC}">
              <c16:uniqueId val="{00000001-AEB2-4FBA-8134-7E26C3F7E097}"/>
            </c:ext>
          </c:extLst>
        </c:ser>
        <c:dLbls>
          <c:showLegendKey val="0"/>
          <c:showVal val="0"/>
          <c:showCatName val="0"/>
          <c:showSerName val="0"/>
          <c:showPercent val="0"/>
          <c:showBubbleSize val="0"/>
        </c:dLbls>
        <c:gapWidth val="219"/>
        <c:overlap val="-27"/>
        <c:axId val="477045608"/>
        <c:axId val="477046920"/>
      </c:barChart>
      <c:catAx>
        <c:axId val="4770456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477046920"/>
        <c:crosses val="autoZero"/>
        <c:auto val="1"/>
        <c:lblAlgn val="ctr"/>
        <c:lblOffset val="100"/>
        <c:noMultiLvlLbl val="0"/>
      </c:catAx>
      <c:valAx>
        <c:axId val="477046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crossAx val="477045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228E-07C3-4186-8E2D-28CB95A7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7641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Krahe</dc:creator>
  <cp:lastModifiedBy>BfV AG Rolf Krahe</cp:lastModifiedBy>
  <cp:revision>8</cp:revision>
  <cp:lastPrinted>2016-03-30T10:12:00Z</cp:lastPrinted>
  <dcterms:created xsi:type="dcterms:W3CDTF">2020-12-28T09:27:00Z</dcterms:created>
  <dcterms:modified xsi:type="dcterms:W3CDTF">2021-01-04T14:29:00Z</dcterms:modified>
</cp:coreProperties>
</file>