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5DEA5" w14:textId="77777777" w:rsidR="005F5B62" w:rsidRPr="009404CF" w:rsidRDefault="005F5B62" w:rsidP="005F5B62">
      <w:pPr>
        <w:rPr>
          <w:rFonts w:ascii="Arial" w:hAnsi="Arial" w:cs="Arial"/>
          <w:color w:val="000000"/>
        </w:rPr>
      </w:pPr>
      <w:permStart w:id="1404244874" w:edGrp="everyone"/>
      <w:r>
        <w:rPr>
          <w:rFonts w:ascii="Arial" w:hAnsi="Arial" w:cs="Arial"/>
          <w:noProof/>
          <w:color w:val="000000"/>
          <w:lang w:eastAsia="de-DE"/>
        </w:rPr>
        <w:drawing>
          <wp:inline distT="0" distB="0" distL="0" distR="0" wp14:anchorId="29DA93AD" wp14:editId="41602C7D">
            <wp:extent cx="1762125" cy="1314450"/>
            <wp:effectExtent l="0" t="0" r="9525" b="0"/>
            <wp:docPr id="3" name="Grafik 3" descr="I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descr="Ih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314450"/>
                    </a:xfrm>
                    <a:prstGeom prst="rect">
                      <a:avLst/>
                    </a:prstGeom>
                    <a:noFill/>
                    <a:ln>
                      <a:noFill/>
                    </a:ln>
                  </pic:spPr>
                </pic:pic>
              </a:graphicData>
            </a:graphic>
          </wp:inline>
        </w:drawing>
      </w:r>
    </w:p>
    <w:p w14:paraId="10BB301E" w14:textId="77777777" w:rsidR="005F5B62" w:rsidRPr="009404CF" w:rsidRDefault="005F5B62" w:rsidP="005F5B62">
      <w:pPr>
        <w:rPr>
          <w:rFonts w:ascii="Arial" w:hAnsi="Arial" w:cs="Arial"/>
          <w:color w:val="000000"/>
        </w:rPr>
      </w:pPr>
    </w:p>
    <w:p w14:paraId="7831B002" w14:textId="77777777" w:rsidR="005F5B62" w:rsidRPr="009404CF" w:rsidRDefault="005F5B62" w:rsidP="005F5B62">
      <w:pPr>
        <w:rPr>
          <w:rFonts w:ascii="Arial" w:hAnsi="Arial" w:cs="Arial"/>
          <w:color w:val="000000"/>
        </w:rPr>
      </w:pPr>
    </w:p>
    <w:p w14:paraId="253A3703" w14:textId="77777777" w:rsidR="005F5B62" w:rsidRPr="009404CF" w:rsidRDefault="005F5B62" w:rsidP="005F5B62">
      <w:pPr>
        <w:rPr>
          <w:rFonts w:ascii="Arial" w:hAnsi="Arial" w:cs="Arial"/>
          <w:color w:val="000000"/>
        </w:rPr>
      </w:pPr>
    </w:p>
    <w:p w14:paraId="455D3259" w14:textId="77777777" w:rsidR="005F5B62" w:rsidRPr="009404CF" w:rsidRDefault="005F5B62" w:rsidP="005F5B62">
      <w:pPr>
        <w:rPr>
          <w:rFonts w:ascii="Arial" w:hAnsi="Arial" w:cs="Arial"/>
          <w:color w:val="000000"/>
        </w:rPr>
      </w:pPr>
    </w:p>
    <w:p w14:paraId="23616C61" w14:textId="77777777" w:rsidR="005F5B62" w:rsidRPr="009404CF" w:rsidRDefault="005F5B62" w:rsidP="005F5B62">
      <w:pPr>
        <w:rPr>
          <w:rFonts w:ascii="Arial" w:hAnsi="Arial" w:cs="Arial"/>
          <w:color w:val="000000"/>
        </w:rPr>
      </w:pPr>
    </w:p>
    <w:p w14:paraId="6B879C3A" w14:textId="77777777" w:rsidR="005F5B62" w:rsidRPr="009404CF" w:rsidRDefault="005F5B62" w:rsidP="005F5B62">
      <w:pPr>
        <w:rPr>
          <w:rFonts w:ascii="Arial" w:hAnsi="Arial" w:cs="Arial"/>
          <w:color w:val="000000"/>
        </w:rPr>
      </w:pPr>
    </w:p>
    <w:p w14:paraId="4C8158DA" w14:textId="77777777" w:rsidR="005F5B62" w:rsidRPr="009404CF" w:rsidRDefault="005F5B62" w:rsidP="005F5B62">
      <w:pPr>
        <w:rPr>
          <w:rFonts w:ascii="Arial" w:hAnsi="Arial" w:cs="Arial"/>
          <w:color w:val="000000"/>
        </w:rPr>
      </w:pPr>
    </w:p>
    <w:p w14:paraId="193A7FBC" w14:textId="3791FFCF" w:rsidR="005F5B62" w:rsidRPr="009404CF" w:rsidRDefault="005F5B62" w:rsidP="005F5B62">
      <w:pPr>
        <w:pBdr>
          <w:top w:val="single" w:sz="4" w:space="1" w:color="auto"/>
          <w:left w:val="single" w:sz="4" w:space="4" w:color="auto"/>
          <w:bottom w:val="single" w:sz="4" w:space="1" w:color="auto"/>
          <w:right w:val="single" w:sz="4" w:space="4" w:color="auto"/>
        </w:pBdr>
        <w:outlineLvl w:val="0"/>
        <w:rPr>
          <w:rFonts w:ascii="Arial" w:hAnsi="Arial" w:cs="Arial"/>
          <w:b/>
          <w:color w:val="000000"/>
        </w:rPr>
      </w:pPr>
      <w:r w:rsidRPr="009404CF">
        <w:rPr>
          <w:rFonts w:ascii="Arial" w:hAnsi="Arial" w:cs="Arial"/>
          <w:b/>
          <w:color w:val="000000"/>
          <w:highlight w:val="lightGray"/>
        </w:rPr>
        <w:t>[</w:t>
      </w:r>
      <w:r w:rsidR="00BB03C3">
        <w:rPr>
          <w:rFonts w:ascii="Arial" w:hAnsi="Arial" w:cs="Arial"/>
          <w:b/>
          <w:color w:val="000000"/>
          <w:highlight w:val="lightGray"/>
        </w:rPr>
        <w:t xml:space="preserve">Monatsbericht </w:t>
      </w:r>
      <w:r w:rsidR="00E77BB7">
        <w:rPr>
          <w:rFonts w:ascii="Arial" w:hAnsi="Arial" w:cs="Arial"/>
          <w:b/>
          <w:color w:val="000000"/>
          <w:highlight w:val="lightGray"/>
        </w:rPr>
        <w:t>Februar 2021</w:t>
      </w:r>
      <w:r w:rsidRPr="009404CF">
        <w:rPr>
          <w:rFonts w:ascii="Arial" w:hAnsi="Arial" w:cs="Arial"/>
          <w:b/>
          <w:color w:val="000000"/>
          <w:highlight w:val="lightGray"/>
        </w:rPr>
        <w:t>]</w:t>
      </w:r>
    </w:p>
    <w:permEnd w:id="1404244874"/>
    <w:p w14:paraId="74430F48" w14:textId="77777777" w:rsidR="005F5B62" w:rsidRDefault="005F5B62" w:rsidP="005F5B62">
      <w:pPr>
        <w:pStyle w:val="Textkrper"/>
        <w:spacing w:after="200" w:line="276" w:lineRule="auto"/>
        <w:ind w:right="141"/>
        <w:rPr>
          <w:rFonts w:ascii="Arial" w:hAnsi="Arial" w:cs="Arial"/>
          <w:b/>
          <w:color w:val="C00000"/>
        </w:rPr>
      </w:pPr>
    </w:p>
    <w:p w14:paraId="0D2783D2" w14:textId="3FF8BDE5" w:rsidR="006E4FC7" w:rsidRPr="00504407" w:rsidRDefault="00BB03C3" w:rsidP="00BB03C3">
      <w:pPr>
        <w:autoSpaceDE w:val="0"/>
        <w:autoSpaceDN w:val="0"/>
        <w:adjustRightInd w:val="0"/>
        <w:spacing w:line="240" w:lineRule="auto"/>
        <w:rPr>
          <w:rFonts w:ascii="Roboto Slab" w:eastAsia="Times New Roman" w:hAnsi="Roboto Slab" w:cs="Calibri"/>
          <w:b/>
          <w:bCs/>
          <w:color w:val="FFC300"/>
          <w:sz w:val="56"/>
          <w:szCs w:val="56"/>
        </w:rPr>
      </w:pPr>
      <w:r w:rsidRPr="00504407">
        <w:rPr>
          <w:rFonts w:ascii="Roboto Slab" w:eastAsia="Times New Roman" w:hAnsi="Roboto Slab" w:cs="Calibri"/>
          <w:b/>
          <w:bCs/>
          <w:color w:val="FFC300"/>
          <w:sz w:val="56"/>
          <w:szCs w:val="56"/>
        </w:rPr>
        <w:t xml:space="preserve">Monatsbericht </w:t>
      </w:r>
      <w:r w:rsidR="00E77BB7" w:rsidRPr="00504407">
        <w:rPr>
          <w:rFonts w:ascii="Roboto Slab" w:eastAsia="Times New Roman" w:hAnsi="Roboto Slab" w:cs="Calibri"/>
          <w:b/>
          <w:bCs/>
          <w:color w:val="FFC300"/>
          <w:sz w:val="56"/>
          <w:szCs w:val="56"/>
        </w:rPr>
        <w:t>Februar 2021</w:t>
      </w:r>
    </w:p>
    <w:p w14:paraId="4797EBBB" w14:textId="77777777" w:rsidR="009E7C43" w:rsidRPr="009E7C43" w:rsidRDefault="009E7C43" w:rsidP="009E7C43">
      <w:pPr>
        <w:rPr>
          <w:rFonts w:ascii="Roboto Slab" w:hAnsi="Roboto Slab" w:cstheme="minorHAnsi"/>
          <w:b/>
          <w:bCs/>
        </w:rPr>
      </w:pPr>
      <w:r w:rsidRPr="009E7C43">
        <w:rPr>
          <w:rFonts w:ascii="Roboto Slab" w:hAnsi="Roboto Slab" w:cstheme="minorHAnsi"/>
          <w:b/>
          <w:bCs/>
        </w:rPr>
        <w:t>Inflation: kurze oder dauerhafte Rückkehr?</w:t>
      </w:r>
    </w:p>
    <w:p w14:paraId="2A3B36E8" w14:textId="6D58D1DA" w:rsidR="009E7C43" w:rsidRPr="00C1063C" w:rsidRDefault="009E7C43" w:rsidP="009E7C43">
      <w:pPr>
        <w:rPr>
          <w:rFonts w:ascii="Roboto Slab" w:hAnsi="Roboto Slab" w:cstheme="minorHAnsi"/>
        </w:rPr>
      </w:pPr>
      <w:r w:rsidRPr="00C1063C">
        <w:rPr>
          <w:rFonts w:ascii="Roboto Slab" w:hAnsi="Roboto Slab" w:cstheme="minorHAnsi"/>
        </w:rPr>
        <w:t>Das Thema „Inflation“ verschaffte sich in den vergangenen Wochen wieder mehr Aufmerksamkeit. Als Inflation bezeichnet man einen Anstieg des allgemeinen Preisniveaus bei Waren und Dienstleistungen. Die für Deutschland ermittelte Inflationsrate war im Januar überraschend deutlich von minus 0,3 Prozent auf plus 1,0 Prozent nach oben geschnellt. Für die Eurozone insgesamt sprang die Inflationsrate sogar von minus 0,7 Prozent im Dezember auf plus 1,6 Prozent im Januar. Und der Anstieg der durchschnittlichen Preise für einen repräsentativen Warenkorb dürfte sich zumindest vorerst fortsetzen. Dafür gibt es eine Reihe von Gründen: Zum einen haben die Shutdown-Maßnahmen zur Bekämpfung der Corona-Pandemie in manchen Branchen zu Störungen geführt. Kapazitätsengpässe im internationalen Frachtverkehr haben beispielsweise zu Lieferverzögerungen und steigenden Preisen geführt. Und Unternehmen der Automobil-, Maschinenbau- und Elektroindustrie kämpfen mit Lieferengpässen bei Stahl und Mikrochips. Ein weiterer Grund war die Rücknahme der vorübergehenden Mehrwertsteuer-Senkung in Deutschland. Seit Jahresbeginn werden wieder die höheren Mehrwertsteuersätze erhoben, was höhere Endpreise bedeutet.</w:t>
      </w:r>
    </w:p>
    <w:p w14:paraId="3CB6312E" w14:textId="77777777" w:rsidR="009E7C43" w:rsidRPr="00C1063C" w:rsidRDefault="009E7C43" w:rsidP="009E7C43">
      <w:pPr>
        <w:rPr>
          <w:rFonts w:ascii="Roboto Slab" w:hAnsi="Roboto Slab" w:cstheme="minorHAnsi"/>
        </w:rPr>
      </w:pPr>
    </w:p>
    <w:p w14:paraId="122475F9" w14:textId="683661B7" w:rsidR="003B21E9" w:rsidRDefault="009E7C43" w:rsidP="00083E3F">
      <w:pPr>
        <w:rPr>
          <w:rFonts w:ascii="Roboto Slab" w:hAnsi="Roboto Slab" w:cstheme="minorHAnsi"/>
        </w:rPr>
      </w:pPr>
      <w:r w:rsidRPr="00C1063C">
        <w:rPr>
          <w:rFonts w:ascii="Roboto Slab" w:hAnsi="Roboto Slab" w:cstheme="minorHAnsi"/>
        </w:rPr>
        <w:lastRenderedPageBreak/>
        <w:t xml:space="preserve">In den nächsten Monaten werden die Inflationszahlen allein aufgrund des sogenannten „Basiseffektes“ steigen, denn Inflation wird gemeinhin als Veränderung des Preisniveaus gegenüber dem Vorjahr gemessen. Und im März und April vergangenen Jahres brachen viele Preis ein, darunter der wichtige Ölpreis. Wenn im April dieses Jahres die Preise mit denen von April 2020 verglichen werden, ist also der Ausgangswert sehr niedrig, </w:t>
      </w:r>
      <w:r w:rsidR="00083E3F">
        <w:rPr>
          <w:rFonts w:ascii="Roboto Slab" w:hAnsi="Roboto Slab" w:cstheme="minorHAnsi"/>
        </w:rPr>
        <w:t>sodass</w:t>
      </w:r>
      <w:r w:rsidRPr="00C1063C">
        <w:rPr>
          <w:rFonts w:ascii="Roboto Slab" w:hAnsi="Roboto Slab" w:cstheme="minorHAnsi"/>
        </w:rPr>
        <w:t xml:space="preserve"> der prozentuale Anstieg hoch ausfällt. Dies gilt insbesondere für den Rohölpreis, der sich bei diesem Vergleich verdoppelt haben dürfte. Durch die Corona-Pandemie und den Preiskampf zwischen Saudi-Arabien und Russland war der Weltmarktpreis für Öl damals stark eingebrochen. Angesichts ausgeschöpfter Lagerkapazitäten war am US-Terminmarkt der Ölpreis sogar kurzzeitig unter </w:t>
      </w:r>
      <w:proofErr w:type="spellStart"/>
      <w:r w:rsidRPr="00C1063C">
        <w:rPr>
          <w:rFonts w:ascii="Roboto Slab" w:hAnsi="Roboto Slab" w:cstheme="minorHAnsi"/>
        </w:rPr>
        <w:t>Null</w:t>
      </w:r>
      <w:proofErr w:type="spellEnd"/>
      <w:r w:rsidRPr="00C1063C">
        <w:rPr>
          <w:rFonts w:ascii="Roboto Slab" w:hAnsi="Roboto Slab" w:cstheme="minorHAnsi"/>
        </w:rPr>
        <w:t xml:space="preserve"> gefallen. Allein der Effekt der auf Jahresbasis deshalb stark steigenden Energiepreise dürften die Inflationsrate in den kommenden Monaten um ein bis zwei Prozentpunkte steigen lassen. </w:t>
      </w:r>
      <w:r w:rsidR="003B21E9" w:rsidRPr="003B21E9">
        <w:rPr>
          <w:rFonts w:ascii="Roboto Slab" w:hAnsi="Roboto Slab" w:cstheme="minorHAnsi"/>
        </w:rPr>
        <w:t xml:space="preserve">Die Grafik zeigt die </w:t>
      </w:r>
      <w:r w:rsidR="00504407">
        <w:rPr>
          <w:rFonts w:ascii="Roboto Slab" w:hAnsi="Roboto Slab" w:cstheme="minorHAnsi"/>
        </w:rPr>
        <w:t xml:space="preserve">Schwankungen der Inflationsrate </w:t>
      </w:r>
      <w:r w:rsidR="003B21E9" w:rsidRPr="003B21E9">
        <w:rPr>
          <w:rFonts w:ascii="Roboto Slab" w:hAnsi="Roboto Slab" w:cstheme="minorHAnsi"/>
        </w:rPr>
        <w:t>in Deutschland seit dem Jahr 2000.</w:t>
      </w:r>
    </w:p>
    <w:p w14:paraId="688AC9B7" w14:textId="271BEEED" w:rsidR="009E7C43" w:rsidRDefault="003B21E9" w:rsidP="003B21E9">
      <w:pPr>
        <w:jc w:val="center"/>
        <w:rPr>
          <w:rFonts w:ascii="Roboto Slab" w:hAnsi="Roboto Slab" w:cstheme="minorHAnsi"/>
        </w:rPr>
      </w:pPr>
      <w:r>
        <w:rPr>
          <w:noProof/>
        </w:rPr>
        <w:drawing>
          <wp:inline distT="0" distB="0" distL="0" distR="0" wp14:anchorId="75A9BAE8" wp14:editId="094FA5B7">
            <wp:extent cx="4572000" cy="2743200"/>
            <wp:effectExtent l="0" t="0" r="0" b="0"/>
            <wp:docPr id="1" name="Diagramm 1">
              <a:extLst xmlns:a="http://schemas.openxmlformats.org/drawingml/2006/main">
                <a:ext uri="{FF2B5EF4-FFF2-40B4-BE49-F238E27FC236}">
                  <a16:creationId xmlns:a16="http://schemas.microsoft.com/office/drawing/2014/main" id="{A1818D54-4AC8-46A5-9531-C08D35F8F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6A64D02" w14:textId="15F850B1" w:rsidR="009E7C43" w:rsidRPr="002F38A0" w:rsidRDefault="002F38A0" w:rsidP="009E7C43">
      <w:pPr>
        <w:rPr>
          <w:rFonts w:ascii="Roboto Slab" w:hAnsi="Roboto Slab" w:cstheme="minorHAnsi"/>
          <w:sz w:val="18"/>
          <w:szCs w:val="18"/>
        </w:rPr>
      </w:pPr>
      <w:r w:rsidRPr="002F38A0">
        <w:rPr>
          <w:rFonts w:ascii="Roboto Slab" w:hAnsi="Roboto Slab" w:cstheme="minorHAnsi"/>
          <w:sz w:val="18"/>
          <w:szCs w:val="18"/>
        </w:rPr>
        <w:t>Quelle: Statistisches Bundesamt</w:t>
      </w:r>
    </w:p>
    <w:p w14:paraId="04BBE29B" w14:textId="2BD83E90" w:rsidR="009E7C43" w:rsidRPr="00C1063C" w:rsidRDefault="009E7C43" w:rsidP="009E7C43">
      <w:pPr>
        <w:rPr>
          <w:rFonts w:ascii="Roboto Slab" w:hAnsi="Roboto Slab" w:cstheme="minorHAnsi"/>
        </w:rPr>
      </w:pPr>
      <w:r w:rsidRPr="00C1063C">
        <w:rPr>
          <w:rFonts w:ascii="Roboto Slab" w:hAnsi="Roboto Slab" w:cstheme="minorHAnsi"/>
        </w:rPr>
        <w:t>Wenn Shutdown-Maßnahmen im Jahresverlauf aufgehoben werden können, dürfte sich zudem aufgestaute Konsumnachfrage Bahn brechen. Und es ist viel Geld zum Ausgeben vorhanden, denn während der Corona-Pandemie sind die Sparquoten deutlich gestiegen, in Deutschland beispielsweise 2020 mit 16 Prozent auf den höchsten Wert seit der Wiedervereinigung</w:t>
      </w:r>
      <w:r w:rsidR="00504407">
        <w:rPr>
          <w:rFonts w:ascii="Roboto Slab" w:hAnsi="Roboto Slab" w:cstheme="minorHAnsi"/>
        </w:rPr>
        <w:t xml:space="preserve">. </w:t>
      </w:r>
      <w:r w:rsidRPr="00C1063C">
        <w:rPr>
          <w:rFonts w:ascii="Roboto Slab" w:hAnsi="Roboto Slab" w:cstheme="minorHAnsi"/>
        </w:rPr>
        <w:t>Die hohen Ersparnisse sind zwar eine gute Grundlage für einen Konjunkturaufschwung, dürften aber auch für steigende Preise sorgen. Ladenbetreiber, die monatelang schließen mussten, werden versuchen, mit Preiserhöhungen einen Teil ihrer Verluste wieder auszugleichen.</w:t>
      </w:r>
    </w:p>
    <w:p w14:paraId="57F8395D" w14:textId="0BD6B11B" w:rsidR="009E7C43" w:rsidRPr="00C1063C" w:rsidRDefault="009E7C43" w:rsidP="009E7C43">
      <w:pPr>
        <w:rPr>
          <w:rFonts w:ascii="Roboto Slab" w:hAnsi="Roboto Slab" w:cstheme="minorHAnsi"/>
        </w:rPr>
      </w:pPr>
      <w:r w:rsidRPr="00C1063C">
        <w:rPr>
          <w:rFonts w:ascii="Roboto Slab" w:hAnsi="Roboto Slab" w:cstheme="minorHAnsi"/>
        </w:rPr>
        <w:t xml:space="preserve">Die Mehrheit der Experten erwarten für die USA für das Jahr 2021 eine Inflationsrate von ungefähr 2,5 Prozent und für die Eurozone rund 1,5 Prozent. Nicht wenige Experten halten aber auch einen noch schnelleren Preisanstieg für möglich. Sie weisen unter anderem darauf hin, dass im weiteren Jahresverlauf die Kosten für viele Vorprodukte </w:t>
      </w:r>
      <w:r w:rsidRPr="00C1063C">
        <w:rPr>
          <w:rFonts w:ascii="Roboto Slab" w:hAnsi="Roboto Slab" w:cstheme="minorHAnsi"/>
        </w:rPr>
        <w:lastRenderedPageBreak/>
        <w:t xml:space="preserve">und </w:t>
      </w:r>
      <w:r w:rsidR="005D5C70">
        <w:rPr>
          <w:rFonts w:ascii="Roboto Slab" w:hAnsi="Roboto Slab" w:cstheme="minorHAnsi"/>
        </w:rPr>
        <w:t>D</w:t>
      </w:r>
      <w:r w:rsidRPr="00C1063C">
        <w:rPr>
          <w:rFonts w:ascii="Roboto Slab" w:hAnsi="Roboto Slab" w:cstheme="minorHAnsi"/>
        </w:rPr>
        <w:t xml:space="preserve">ienstleistungen, aufgrund der hohen Auslastung in der Industrie, weiter steigen könnten. </w:t>
      </w:r>
      <w:r w:rsidR="005D5C70">
        <w:rPr>
          <w:rFonts w:ascii="Roboto Slab" w:hAnsi="Roboto Slab" w:cstheme="minorHAnsi"/>
        </w:rPr>
        <w:t>Den aktuellen Preisanstieg mehrerer Erzeugnisse zeigt die folgende Grafik.</w:t>
      </w:r>
    </w:p>
    <w:p w14:paraId="68BD80B8" w14:textId="0C9CCA9A" w:rsidR="009E7C43" w:rsidRPr="00C1063C" w:rsidRDefault="002F38A0" w:rsidP="002F38A0">
      <w:pPr>
        <w:jc w:val="center"/>
        <w:rPr>
          <w:rFonts w:ascii="Roboto Slab" w:hAnsi="Roboto Slab" w:cstheme="minorHAnsi"/>
        </w:rPr>
      </w:pPr>
      <w:r>
        <w:rPr>
          <w:noProof/>
        </w:rPr>
        <w:drawing>
          <wp:inline distT="0" distB="0" distL="0" distR="0" wp14:anchorId="76151EA1" wp14:editId="2624FB95">
            <wp:extent cx="5029200" cy="3343275"/>
            <wp:effectExtent l="0" t="0" r="0" b="9525"/>
            <wp:docPr id="7" name="Diagramm 7">
              <a:extLst xmlns:a="http://schemas.openxmlformats.org/drawingml/2006/main">
                <a:ext uri="{FF2B5EF4-FFF2-40B4-BE49-F238E27FC236}">
                  <a16:creationId xmlns:a16="http://schemas.microsoft.com/office/drawing/2014/main" id="{D83B6AEE-1F16-4AD6-AE24-B7504F5A0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D07703" w14:textId="479EFC2E" w:rsidR="002F38A0" w:rsidRPr="002F38A0" w:rsidRDefault="002F38A0" w:rsidP="009E7C43">
      <w:pPr>
        <w:rPr>
          <w:rFonts w:ascii="Roboto Slab" w:hAnsi="Roboto Slab" w:cstheme="minorHAnsi"/>
          <w:sz w:val="18"/>
          <w:szCs w:val="18"/>
        </w:rPr>
      </w:pPr>
      <w:r w:rsidRPr="002F38A0">
        <w:rPr>
          <w:rFonts w:ascii="Roboto Slab" w:hAnsi="Roboto Slab" w:cstheme="minorHAnsi"/>
          <w:sz w:val="18"/>
          <w:szCs w:val="18"/>
        </w:rPr>
        <w:t>Quelle: https://www.destatis.de/DE/Presse/Pressemitteilungen/2021/02/PD21_075_61241.html</w:t>
      </w:r>
    </w:p>
    <w:p w14:paraId="3E929DA8" w14:textId="6158378D" w:rsidR="009E7C43" w:rsidRPr="00C1063C" w:rsidRDefault="009E7C43" w:rsidP="009E7C43">
      <w:pPr>
        <w:rPr>
          <w:rFonts w:ascii="Roboto Slab" w:hAnsi="Roboto Slab" w:cstheme="minorHAnsi"/>
        </w:rPr>
      </w:pPr>
      <w:r w:rsidRPr="00C1063C">
        <w:rPr>
          <w:rFonts w:ascii="Roboto Slab" w:hAnsi="Roboto Slab" w:cstheme="minorHAnsi"/>
        </w:rPr>
        <w:t>Ob sich dieser Inflationstrend allerdings im Jahresverlauf verstetigt, ist umstritten. Die Prognosen für die Inflationsentwicklung im zweiten Halbjahr gehen weit auseinander. Während die einen auf anhaltend steigende Wachstums- und Inflationsraten setzen, wenn die Weltwirtschaft nicht mehr vom Virus gebremst wird, glauben andere, dass dieser Effekt schon nach ein oder maximal zwei Quartalen auslaufen dürfte.</w:t>
      </w:r>
    </w:p>
    <w:p w14:paraId="1145DA62" w14:textId="1D7A827D" w:rsidR="009E7C43" w:rsidRPr="00C1063C" w:rsidRDefault="009E7C43" w:rsidP="009E7C43">
      <w:pPr>
        <w:rPr>
          <w:rFonts w:ascii="Roboto Slab" w:hAnsi="Roboto Slab" w:cstheme="minorHAnsi"/>
        </w:rPr>
      </w:pPr>
      <w:r w:rsidRPr="00C1063C">
        <w:rPr>
          <w:rFonts w:ascii="Roboto Slab" w:hAnsi="Roboto Slab" w:cstheme="minorHAnsi"/>
        </w:rPr>
        <w:t xml:space="preserve">Zunächst aber beschäftigt das Thema steigender Inflationsraten auch die Börsen. Wenn eine bessere Weltkonjunktur und steigende Inflationsraten erwartet werden, steigen die Preise von Rohstoffen und die Zinsen. Davon können Aktien einiger Branchen tendenziell profitieren, darunter Rohstoff-Konzerne und Banken </w:t>
      </w:r>
      <w:r w:rsidR="007E6F50">
        <w:rPr>
          <w:rFonts w:ascii="Roboto Slab" w:hAnsi="Roboto Slab" w:cstheme="minorHAnsi"/>
        </w:rPr>
        <w:t xml:space="preserve">bzw. </w:t>
      </w:r>
      <w:r w:rsidRPr="00C1063C">
        <w:rPr>
          <w:rFonts w:ascii="Roboto Slab" w:hAnsi="Roboto Slab" w:cstheme="minorHAnsi"/>
        </w:rPr>
        <w:t xml:space="preserve">Versicherungen. Für </w:t>
      </w:r>
      <w:r w:rsidR="007E6F50">
        <w:rPr>
          <w:rFonts w:ascii="Roboto Slab" w:hAnsi="Roboto Slab" w:cstheme="minorHAnsi"/>
        </w:rPr>
        <w:t xml:space="preserve">Finanzwerte </w:t>
      </w:r>
      <w:r w:rsidRPr="00C1063C">
        <w:rPr>
          <w:rFonts w:ascii="Roboto Slab" w:hAnsi="Roboto Slab" w:cstheme="minorHAnsi"/>
        </w:rPr>
        <w:t xml:space="preserve">würden steigende Zinsen endlich wieder besser </w:t>
      </w:r>
      <w:r w:rsidR="007E6F50">
        <w:rPr>
          <w:rFonts w:ascii="Roboto Slab" w:hAnsi="Roboto Slab" w:cstheme="minorHAnsi"/>
        </w:rPr>
        <w:t>Ertrags</w:t>
      </w:r>
      <w:r w:rsidRPr="00C1063C">
        <w:rPr>
          <w:rFonts w:ascii="Roboto Slab" w:hAnsi="Roboto Slab" w:cstheme="minorHAnsi"/>
        </w:rPr>
        <w:t>möglichkeiten bedeuten. Dagegen reagieren sogenannte „Wachstumsaktien“ empfindlich auf höhere Zinsen. Steigende Inflationsraten und Zinsen sind also auch ein Auslöser für Umschichtungen von Wachstums- zu Substanz-Aktien.</w:t>
      </w:r>
    </w:p>
    <w:p w14:paraId="0C3D0F24" w14:textId="77777777" w:rsidR="004043F9" w:rsidRDefault="004043F9" w:rsidP="009E7C43">
      <w:pPr>
        <w:jc w:val="both"/>
        <w:rPr>
          <w:rFonts w:ascii="Roboto Slab" w:hAnsi="Roboto Slab" w:cstheme="minorHAnsi"/>
          <w:b/>
          <w:bCs/>
        </w:rPr>
      </w:pPr>
    </w:p>
    <w:p w14:paraId="0A2BD6A3" w14:textId="46FA5288" w:rsidR="009E7C43" w:rsidRPr="009E7C43" w:rsidRDefault="009E7C43" w:rsidP="009E7C43">
      <w:pPr>
        <w:jc w:val="both"/>
        <w:rPr>
          <w:rFonts w:ascii="Roboto Slab" w:hAnsi="Roboto Slab" w:cstheme="minorHAnsi"/>
          <w:b/>
          <w:bCs/>
        </w:rPr>
      </w:pPr>
      <w:r w:rsidRPr="009E7C43">
        <w:rPr>
          <w:rFonts w:ascii="Roboto Slab" w:hAnsi="Roboto Slab" w:cstheme="minorHAnsi"/>
          <w:b/>
          <w:bCs/>
        </w:rPr>
        <w:t>Deutsche sparen viel, aber schlecht</w:t>
      </w:r>
    </w:p>
    <w:p w14:paraId="4ED5E55C" w14:textId="37A2F1BF" w:rsidR="009E7C43" w:rsidRPr="00C1063C" w:rsidRDefault="009E7C43" w:rsidP="009E7C43">
      <w:pPr>
        <w:jc w:val="both"/>
        <w:rPr>
          <w:rFonts w:ascii="Roboto Slab" w:hAnsi="Roboto Slab" w:cstheme="minorHAnsi"/>
        </w:rPr>
      </w:pPr>
      <w:r w:rsidRPr="00C1063C">
        <w:rPr>
          <w:rFonts w:ascii="Roboto Slab" w:hAnsi="Roboto Slab" w:cstheme="minorHAnsi"/>
        </w:rPr>
        <w:t xml:space="preserve">Die Shutdown-Maßnahmen zur Bekämpfung der Corona-Pandemie treffen manche Menschen mit großer Härte. Die verordnete Schließung von Geschäften, Restaurants, Fitness-Studios etc. und das praktische Verbot, zahlreiche Berufe wie gewohnt auszuüben, zwingen viele, auf ihre finanziellen Reserven zurückzugreifen. Wer deshalb glaubt, die </w:t>
      </w:r>
      <w:r w:rsidRPr="00C1063C">
        <w:rPr>
          <w:rFonts w:ascii="Roboto Slab" w:hAnsi="Roboto Slab" w:cstheme="minorHAnsi"/>
        </w:rPr>
        <w:lastRenderedPageBreak/>
        <w:t xml:space="preserve">Pandemie habe zu einem Abschmelzen der Ersparnisse geführt, irrt allerdings. Denn der Rückgriff auf frühere Ersparnisse wird von gegenläufigen Effekten mehr als ausgeglichen. Tatsächlich ist das deutsche Geldvermögen im vergangenen Jahr gewachsen. Es erreichte mit 7,1 Billionen Euro einen neuen Rekord. </w:t>
      </w:r>
      <w:r w:rsidR="004043F9">
        <w:rPr>
          <w:rFonts w:ascii="Roboto Slab" w:hAnsi="Roboto Slab" w:cstheme="minorHAnsi"/>
        </w:rPr>
        <w:t>Die Grafik zeigt die prozentuale Aufteilung auf Anlageformen</w:t>
      </w:r>
      <w:r w:rsidR="005D5C70">
        <w:rPr>
          <w:rFonts w:ascii="Roboto Slab" w:hAnsi="Roboto Slab" w:cstheme="minorHAnsi"/>
        </w:rPr>
        <w:t xml:space="preserve"> per Ende 2020</w:t>
      </w:r>
      <w:r w:rsidR="004043F9">
        <w:rPr>
          <w:rFonts w:ascii="Roboto Slab" w:hAnsi="Roboto Slab" w:cstheme="minorHAnsi"/>
        </w:rPr>
        <w:t>.</w:t>
      </w:r>
    </w:p>
    <w:p w14:paraId="7ECCD276" w14:textId="52D23306" w:rsidR="009E7C43" w:rsidRDefault="009B0704" w:rsidP="00C71A80">
      <w:pPr>
        <w:jc w:val="center"/>
        <w:rPr>
          <w:rFonts w:ascii="Roboto Slab" w:hAnsi="Roboto Slab" w:cstheme="minorHAnsi"/>
        </w:rPr>
      </w:pPr>
      <w:r>
        <w:rPr>
          <w:noProof/>
        </w:rPr>
        <w:drawing>
          <wp:inline distT="0" distB="0" distL="0" distR="0" wp14:anchorId="64FC5601" wp14:editId="3F7C42A0">
            <wp:extent cx="4572000" cy="2730500"/>
            <wp:effectExtent l="0" t="0" r="0" b="12700"/>
            <wp:docPr id="10" name="Diagramm 10">
              <a:extLst xmlns:a="http://schemas.openxmlformats.org/drawingml/2006/main">
                <a:ext uri="{FF2B5EF4-FFF2-40B4-BE49-F238E27FC236}">
                  <a16:creationId xmlns:a16="http://schemas.microsoft.com/office/drawing/2014/main" id="{BE8E0888-78C9-4464-A653-A499F3482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7EBA53" w14:textId="30FDE7AF" w:rsidR="00C71A80" w:rsidRPr="00C71A80" w:rsidRDefault="00C71A80" w:rsidP="00C71A80">
      <w:pPr>
        <w:rPr>
          <w:rFonts w:ascii="Roboto Slab" w:hAnsi="Roboto Slab" w:cstheme="minorHAnsi"/>
          <w:sz w:val="18"/>
          <w:szCs w:val="18"/>
        </w:rPr>
      </w:pPr>
      <w:r w:rsidRPr="00C71A80">
        <w:rPr>
          <w:rFonts w:ascii="Roboto Slab" w:hAnsi="Roboto Slab" w:cstheme="minorHAnsi"/>
          <w:sz w:val="18"/>
          <w:szCs w:val="18"/>
        </w:rPr>
        <w:t>Quelle: Bundesbank, DDV, DZ-Bank gemäß dasinvestment.com</w:t>
      </w:r>
    </w:p>
    <w:p w14:paraId="12B2E31E" w14:textId="16CD2B28" w:rsidR="009E7C43" w:rsidRPr="00C1063C" w:rsidRDefault="009E7C43" w:rsidP="009E7C43">
      <w:pPr>
        <w:jc w:val="both"/>
        <w:rPr>
          <w:rFonts w:ascii="Roboto Slab" w:hAnsi="Roboto Slab" w:cstheme="minorHAnsi"/>
        </w:rPr>
      </w:pPr>
      <w:r w:rsidRPr="00C1063C">
        <w:rPr>
          <w:rFonts w:ascii="Roboto Slab" w:hAnsi="Roboto Slab" w:cstheme="minorHAnsi"/>
        </w:rPr>
        <w:t>Vor dem Hintergrund der Corona-Pandemie haben viele Deutsche mehr Geld auf die hohe Kante gelegt als zuvor</w:t>
      </w:r>
      <w:r w:rsidR="004043F9">
        <w:rPr>
          <w:rFonts w:ascii="Roboto Slab" w:hAnsi="Roboto Slab" w:cstheme="minorHAnsi"/>
        </w:rPr>
        <w:t>.</w:t>
      </w:r>
      <w:r w:rsidRPr="00C1063C">
        <w:rPr>
          <w:rFonts w:ascii="Roboto Slab" w:hAnsi="Roboto Slab" w:cstheme="minorHAnsi"/>
        </w:rPr>
        <w:t xml:space="preserve"> Laut einer Studie der DZ Bank schoss die Sparquote deutscher Privathaushalte von rund 11 Prozent im Jahr 2019 auf 16 Prozent im Jahr 2020 in die Höhe. Von April bis Juni sparten die Deutschen prozentual sogar so viel wie seit der Wiedervereinigung nicht mehr.</w:t>
      </w:r>
    </w:p>
    <w:p w14:paraId="22F56E76" w14:textId="3926B946" w:rsidR="009E7C43" w:rsidRPr="00C1063C" w:rsidRDefault="009E7C43" w:rsidP="009E7C43">
      <w:pPr>
        <w:jc w:val="both"/>
        <w:rPr>
          <w:rFonts w:ascii="Roboto Slab" w:hAnsi="Roboto Slab" w:cstheme="minorHAnsi"/>
        </w:rPr>
      </w:pPr>
      <w:r w:rsidRPr="00C1063C">
        <w:rPr>
          <w:rFonts w:ascii="Roboto Slab" w:hAnsi="Roboto Slab" w:cstheme="minorHAnsi"/>
        </w:rPr>
        <w:t>Einen Grund für den Anstieg des privaten Geldvermögens lieferten die Börsen, auch wenn deren Beitrag nicht so hoch war wie im Jahr 2019: 2020 erholten sich die Aktienmärkte in den Monaten nach dem Crash im März weitgehend von den zuvor erlittenen Verlusten. Wer also nicht bei Crash die Nerven verlor, sondern seine Investments durchhielt, machte in den meisten Fällen einen Gewinn. Nicht wenige Anleger hatten erkannt, dass nach dem Crash die Chancen auf eine Kurserholung viel größer war als das Risiko weiterer Kursverluste. Wer nach den Crash Ende März, im April oder Mai Aktieninvestments einging, konnte in der Regel bis zum Jahresende prozentual zweistellige Gewinne erzielen. Sogar in der letzten Oktoberwoche gab es nochmal sehr günstige Einstiegsgelegenheiten, bevor im November die Nachricht, dass es wirksame Impfstoffe gibt, für stark steigende Aktienkurse sorgte</w:t>
      </w:r>
      <w:r w:rsidR="009B0704">
        <w:rPr>
          <w:rFonts w:ascii="Roboto Slab" w:hAnsi="Roboto Slab" w:cstheme="minorHAnsi"/>
        </w:rPr>
        <w:t>.</w:t>
      </w:r>
    </w:p>
    <w:p w14:paraId="32FCE713" w14:textId="00015443" w:rsidR="009E7C43" w:rsidRDefault="009E7C43" w:rsidP="009E7C43">
      <w:pPr>
        <w:jc w:val="both"/>
        <w:rPr>
          <w:rFonts w:ascii="Roboto Slab" w:hAnsi="Roboto Slab" w:cstheme="minorHAnsi"/>
        </w:rPr>
      </w:pPr>
      <w:r w:rsidRPr="00C1063C">
        <w:rPr>
          <w:rFonts w:ascii="Roboto Slab" w:hAnsi="Roboto Slab" w:cstheme="minorHAnsi"/>
        </w:rPr>
        <w:t>Die DZ-Bank-Studie bestätigte eine Beobachtung, die im Jahresverlauf 2020 schon viele Banken gemacht hatten: Viele Deutsche nahmen offenbar den Kurseinbruch im März zum Anlass und tätigten erstmals Aktieninvestments. Im ersten Halbjahr 2020 sind laut der Studie 28,5 Milliarden Euro in Aktien geflossen. Das ist das 2,8-Fache der Netto-</w:t>
      </w:r>
      <w:r w:rsidRPr="00C1063C">
        <w:rPr>
          <w:rFonts w:ascii="Roboto Slab" w:hAnsi="Roboto Slab" w:cstheme="minorHAnsi"/>
        </w:rPr>
        <w:lastRenderedPageBreak/>
        <w:t xml:space="preserve">Aktienanlagen im gleichen Vorjahreszeitraum. </w:t>
      </w:r>
      <w:r w:rsidR="004043F9">
        <w:rPr>
          <w:rFonts w:ascii="Roboto Slab" w:hAnsi="Roboto Slab" w:cstheme="minorHAnsi"/>
        </w:rPr>
        <w:t xml:space="preserve">Aus das hat zu einem Anstieg des DAX geführt, dessen Verlauf seit Anfang 2020 die </w:t>
      </w:r>
      <w:r w:rsidR="009B0704">
        <w:rPr>
          <w:rFonts w:ascii="Roboto Slab" w:hAnsi="Roboto Slab" w:cstheme="minorHAnsi"/>
        </w:rPr>
        <w:t>Grafik zeigt</w:t>
      </w:r>
      <w:r w:rsidR="004043F9">
        <w:rPr>
          <w:rFonts w:ascii="Roboto Slab" w:hAnsi="Roboto Slab" w:cstheme="minorHAnsi"/>
        </w:rPr>
        <w:t>.</w:t>
      </w:r>
    </w:p>
    <w:p w14:paraId="67A0176A" w14:textId="6B9200A0" w:rsidR="009B0704" w:rsidRDefault="009B0704" w:rsidP="009B0704">
      <w:pPr>
        <w:jc w:val="center"/>
        <w:rPr>
          <w:rFonts w:ascii="Roboto Slab" w:hAnsi="Roboto Slab" w:cstheme="minorHAnsi"/>
        </w:rPr>
      </w:pPr>
      <w:r>
        <w:rPr>
          <w:noProof/>
        </w:rPr>
        <w:drawing>
          <wp:inline distT="0" distB="0" distL="0" distR="0" wp14:anchorId="0D0F68D4" wp14:editId="23353614">
            <wp:extent cx="4572000" cy="2730500"/>
            <wp:effectExtent l="0" t="0" r="0" b="12700"/>
            <wp:docPr id="11" name="Diagramm 11">
              <a:extLst xmlns:a="http://schemas.openxmlformats.org/drawingml/2006/main">
                <a:ext uri="{FF2B5EF4-FFF2-40B4-BE49-F238E27FC236}">
                  <a16:creationId xmlns:a16="http://schemas.microsoft.com/office/drawing/2014/main" id="{83AEA3B0-C156-49FA-9D2E-25DC95C87A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2EF1C9" w14:textId="6742CCE8" w:rsidR="009B0704" w:rsidRPr="009B0704" w:rsidRDefault="009B0704" w:rsidP="009B0704">
      <w:pPr>
        <w:rPr>
          <w:rFonts w:ascii="Roboto Slab" w:hAnsi="Roboto Slab" w:cstheme="minorHAnsi"/>
          <w:sz w:val="18"/>
          <w:szCs w:val="18"/>
        </w:rPr>
      </w:pPr>
      <w:r w:rsidRPr="009B0704">
        <w:rPr>
          <w:rFonts w:ascii="Roboto Slab" w:hAnsi="Roboto Slab" w:cstheme="minorHAnsi"/>
          <w:sz w:val="18"/>
          <w:szCs w:val="18"/>
        </w:rPr>
        <w:t>Quelle: finanzen.net</w:t>
      </w:r>
    </w:p>
    <w:p w14:paraId="79582E6F" w14:textId="77777777" w:rsidR="004043F9" w:rsidRDefault="004043F9" w:rsidP="009E7C43">
      <w:pPr>
        <w:rPr>
          <w:rFonts w:ascii="Roboto Slab" w:hAnsi="Roboto Slab" w:cstheme="minorHAnsi"/>
          <w:b/>
          <w:bCs/>
        </w:rPr>
      </w:pPr>
    </w:p>
    <w:p w14:paraId="500DB2F7" w14:textId="4E0A39CC" w:rsidR="009E7C43" w:rsidRPr="009E7C43" w:rsidRDefault="009E7C43" w:rsidP="009E7C43">
      <w:pPr>
        <w:rPr>
          <w:rFonts w:ascii="Roboto Slab" w:hAnsi="Roboto Slab" w:cstheme="minorHAnsi"/>
          <w:b/>
          <w:bCs/>
        </w:rPr>
      </w:pPr>
      <w:r w:rsidRPr="009E7C43">
        <w:rPr>
          <w:rFonts w:ascii="Roboto Slab" w:hAnsi="Roboto Slab" w:cstheme="minorHAnsi"/>
          <w:b/>
          <w:bCs/>
        </w:rPr>
        <w:t>Die Stimmung ist (zu) gut</w:t>
      </w:r>
    </w:p>
    <w:p w14:paraId="2835EB7B" w14:textId="554BEDC8" w:rsidR="009E7C43" w:rsidRPr="00C1063C" w:rsidRDefault="009E7C43" w:rsidP="009E7C43">
      <w:pPr>
        <w:rPr>
          <w:rFonts w:ascii="Roboto Slab" w:hAnsi="Roboto Slab" w:cstheme="minorHAnsi"/>
        </w:rPr>
      </w:pPr>
      <w:r w:rsidRPr="00C1063C">
        <w:rPr>
          <w:rFonts w:ascii="Roboto Slab" w:hAnsi="Roboto Slab" w:cstheme="minorHAnsi"/>
        </w:rPr>
        <w:t xml:space="preserve">Der Optimismus an den Aktienbörsen ist groß. Dafür gibt es auch gute Gründe: Die Weltkonjunktur und mit ihr die Unternehmensgewinne werden sich in diesem und im kommenden Jahr von der Corona-Pandemie erholen. Gleichzeitig pumpen Regierungen und Notenbanken mehr Geld als je zuvor in die Wirtschaft. </w:t>
      </w:r>
    </w:p>
    <w:p w14:paraId="4B25E959" w14:textId="15DDF55A" w:rsidR="009E7C43" w:rsidRPr="00C1063C" w:rsidRDefault="009E7C43" w:rsidP="009E7C43">
      <w:pPr>
        <w:rPr>
          <w:rFonts w:ascii="Roboto Slab" w:hAnsi="Roboto Slab" w:cstheme="minorHAnsi"/>
        </w:rPr>
      </w:pPr>
      <w:r w:rsidRPr="00C1063C">
        <w:rPr>
          <w:rFonts w:ascii="Roboto Slab" w:hAnsi="Roboto Slab" w:cstheme="minorHAnsi"/>
        </w:rPr>
        <w:t xml:space="preserve">Das Geldvermögen der Privathaushalte ist in vielen Ländern, darunter USA und Deutschland, stark gestiegen. Und aktuell fließt mehr als sonst davon in die Aktienmärkte. Anfang Februar beobachtete die Bank </w:t>
      </w:r>
      <w:proofErr w:type="spellStart"/>
      <w:r w:rsidRPr="00C1063C">
        <w:rPr>
          <w:rFonts w:ascii="Roboto Slab" w:hAnsi="Roboto Slab" w:cstheme="minorHAnsi"/>
        </w:rPr>
        <w:t>of</w:t>
      </w:r>
      <w:proofErr w:type="spellEnd"/>
      <w:r w:rsidRPr="00C1063C">
        <w:rPr>
          <w:rFonts w:ascii="Roboto Slab" w:hAnsi="Roboto Slab" w:cstheme="minorHAnsi"/>
        </w:rPr>
        <w:t xml:space="preserve"> </w:t>
      </w:r>
      <w:proofErr w:type="spellStart"/>
      <w:r w:rsidRPr="00C1063C">
        <w:rPr>
          <w:rFonts w:ascii="Roboto Slab" w:hAnsi="Roboto Slab" w:cstheme="minorHAnsi"/>
        </w:rPr>
        <w:t>America</w:t>
      </w:r>
      <w:proofErr w:type="spellEnd"/>
      <w:r w:rsidRPr="00C1063C">
        <w:rPr>
          <w:rFonts w:ascii="Roboto Slab" w:hAnsi="Roboto Slab" w:cstheme="minorHAnsi"/>
        </w:rPr>
        <w:t xml:space="preserve"> mit 58,1 Milliarden Dollar in nur einer Woche die größten jemals gemessenen Zuflüsse in Aktieninvestments. Auch der sogenannte „Bull and Bear“-Indikator der Bank zeigt gefährlich großen Optimismus: Der Indikator erreichte den roten Bereich. Seit Monaten sind Risikobereitschaft und Sorglosigkeit vieler Anleger gestiegen. </w:t>
      </w:r>
    </w:p>
    <w:p w14:paraId="25A40E13" w14:textId="21BCA946" w:rsidR="00083E3F" w:rsidRPr="00C1063C" w:rsidRDefault="009E7C43" w:rsidP="009E7C43">
      <w:pPr>
        <w:rPr>
          <w:rFonts w:ascii="Roboto Slab" w:hAnsi="Roboto Slab" w:cstheme="minorHAnsi"/>
        </w:rPr>
      </w:pPr>
      <w:r w:rsidRPr="00C1063C">
        <w:rPr>
          <w:rFonts w:ascii="Roboto Slab" w:hAnsi="Roboto Slab" w:cstheme="minorHAnsi"/>
        </w:rPr>
        <w:t xml:space="preserve">Dies gilt auch für professionelle Investoren. Für den „Fund Manager Survey“ befragt die Bank </w:t>
      </w:r>
      <w:proofErr w:type="spellStart"/>
      <w:r w:rsidRPr="00C1063C">
        <w:rPr>
          <w:rFonts w:ascii="Roboto Slab" w:hAnsi="Roboto Slab" w:cstheme="minorHAnsi"/>
        </w:rPr>
        <w:t>of</w:t>
      </w:r>
      <w:proofErr w:type="spellEnd"/>
      <w:r w:rsidRPr="00C1063C">
        <w:rPr>
          <w:rFonts w:ascii="Roboto Slab" w:hAnsi="Roboto Slab" w:cstheme="minorHAnsi"/>
        </w:rPr>
        <w:t xml:space="preserve"> Amerika weltweit jeden Monat gut 200 Fondsmanager. 91 Prozent der befragten Profi-Investoren glauben daran, dass sich die Wirtschaft weiter erholt. </w:t>
      </w:r>
    </w:p>
    <w:p w14:paraId="7AF75911" w14:textId="77777777" w:rsidR="00083E3F" w:rsidRDefault="00083E3F" w:rsidP="00083E3F">
      <w:pPr>
        <w:ind w:right="1"/>
        <w:rPr>
          <w:rFonts w:ascii="Roboto Slab" w:hAnsi="Roboto Slab"/>
          <w:color w:val="4B5555"/>
          <w:sz w:val="12"/>
          <w:szCs w:val="12"/>
        </w:rPr>
      </w:pPr>
      <w:r>
        <w:rPr>
          <w:rFonts w:ascii="Roboto Slab" w:hAnsi="Roboto Slab"/>
          <w:color w:val="4B5555"/>
          <w:sz w:val="12"/>
          <w:szCs w:val="12"/>
        </w:rPr>
        <w:t>Wichtiger Hinweis: Der vorliegende Bericht wurde von der BfV Bank für Vermögen AG auf der Grundlage öffentlich zugänglicher Informationen erstellt. Hinsichtlich der von Dritten hinzugezogenen Informationen und Quellen hat die BfV Bank für Vermögen AG nur eine Auswahl getroffen. Für die Richtigkeit, Aktualität und Vollständigkeit der von Dritten erhaltenen bzw. hinzugezogenen Informationen, Quellen und Analyseergebnissen übernimmt die BfV Bank für Vermögen AG keine Haftung. Die Darstellung erfolgt insoweit aus rein informatorischen Zwecken. Alle Aussagen in dem Bericht können sich jederzeit unangekündigt ändern. Die BfV Bank für Vermögen AG trifft insoweit keine Verpflichtung, den Bericht zu aktualisieren. Die in dem Bericht enthaltenen Informationen sind daher weder als Angebot zur Anschaffung oder zur Veräußerung von Investmentanteilen oder anderen Finanzinstrumenten oder zur Vermittlung solcher Geschäfte oder anderer wertpapierbezogener Dienstleistungen zu verstehen. Der Bericht stellt insbesondere auch keine Anlageberatung dar. Die Angaben in dem Bericht ersetzen nicht eine individuelle, anleger- und anlagegerechte Beratung.</w:t>
      </w:r>
    </w:p>
    <w:p w14:paraId="7B4F3CC0" w14:textId="4BE6D814" w:rsidR="00E341A1" w:rsidRPr="00083E3F" w:rsidRDefault="00083E3F" w:rsidP="00083E3F">
      <w:pPr>
        <w:ind w:right="1"/>
        <w:rPr>
          <w:rFonts w:ascii="Roboto Slab" w:hAnsi="Roboto Slab"/>
          <w:color w:val="4B5555"/>
          <w:sz w:val="12"/>
          <w:szCs w:val="12"/>
        </w:rPr>
      </w:pPr>
      <w:r>
        <w:rPr>
          <w:rFonts w:ascii="Roboto Slab" w:hAnsi="Roboto Slab"/>
          <w:color w:val="4B5555"/>
          <w:sz w:val="12"/>
          <w:szCs w:val="12"/>
        </w:rPr>
        <w:t>Stand Januar 2020</w:t>
      </w:r>
    </w:p>
    <w:sectPr w:rsidR="00E341A1" w:rsidRPr="00083E3F" w:rsidSect="00984946">
      <w:pgSz w:w="11906" w:h="16838"/>
      <w:pgMar w:top="1417"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Times New Roman"/>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62"/>
    <w:rsid w:val="00083E3F"/>
    <w:rsid w:val="001D42A2"/>
    <w:rsid w:val="002A36D0"/>
    <w:rsid w:val="002E4DF2"/>
    <w:rsid w:val="002F38A0"/>
    <w:rsid w:val="00313406"/>
    <w:rsid w:val="003B21E9"/>
    <w:rsid w:val="003D2CC7"/>
    <w:rsid w:val="004043F9"/>
    <w:rsid w:val="00412257"/>
    <w:rsid w:val="00425F5B"/>
    <w:rsid w:val="00504407"/>
    <w:rsid w:val="00547CE0"/>
    <w:rsid w:val="0056118D"/>
    <w:rsid w:val="005D42C0"/>
    <w:rsid w:val="005D5C70"/>
    <w:rsid w:val="005F5B62"/>
    <w:rsid w:val="005F7691"/>
    <w:rsid w:val="00620AD5"/>
    <w:rsid w:val="0063240A"/>
    <w:rsid w:val="00682F1D"/>
    <w:rsid w:val="006E4FC7"/>
    <w:rsid w:val="00750969"/>
    <w:rsid w:val="007E6F50"/>
    <w:rsid w:val="00836FC1"/>
    <w:rsid w:val="008A10CE"/>
    <w:rsid w:val="008D3E7F"/>
    <w:rsid w:val="009B0704"/>
    <w:rsid w:val="009E7C43"/>
    <w:rsid w:val="00A4202C"/>
    <w:rsid w:val="00A461B2"/>
    <w:rsid w:val="00B75733"/>
    <w:rsid w:val="00BB03C3"/>
    <w:rsid w:val="00C71A80"/>
    <w:rsid w:val="00D01C05"/>
    <w:rsid w:val="00D32A02"/>
    <w:rsid w:val="00D36F80"/>
    <w:rsid w:val="00DA712D"/>
    <w:rsid w:val="00DE65F8"/>
    <w:rsid w:val="00E341A1"/>
    <w:rsid w:val="00E77BB7"/>
    <w:rsid w:val="00F225C4"/>
    <w:rsid w:val="00FB4CD9"/>
    <w:rsid w:val="00FC7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BDCF"/>
  <w15:docId w15:val="{F52E3DB9-BC25-43C8-A041-D706ED0C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5B62"/>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5F5B62"/>
    <w:pPr>
      <w:spacing w:after="0" w:line="240" w:lineRule="auto"/>
      <w:jc w:val="both"/>
    </w:pPr>
    <w:rPr>
      <w:rFonts w:ascii="Arial" w:eastAsia="Times New Roman" w:hAnsi="Arial" w:cs="Arial"/>
      <w:szCs w:val="24"/>
      <w:lang w:eastAsia="de-DE"/>
    </w:rPr>
  </w:style>
  <w:style w:type="character" w:customStyle="1" w:styleId="Textkrper2Zchn">
    <w:name w:val="Textkörper 2 Zchn"/>
    <w:basedOn w:val="Absatz-Standardschriftart"/>
    <w:link w:val="Textkrper2"/>
    <w:rsid w:val="005F5B62"/>
    <w:rPr>
      <w:rFonts w:ascii="Arial" w:eastAsia="Times New Roman" w:hAnsi="Arial" w:cs="Arial"/>
      <w:szCs w:val="24"/>
      <w:lang w:eastAsia="de-DE"/>
    </w:rPr>
  </w:style>
  <w:style w:type="paragraph" w:styleId="Textkrper">
    <w:name w:val="Body Text"/>
    <w:basedOn w:val="Standard"/>
    <w:link w:val="TextkrperZchn"/>
    <w:rsid w:val="005F5B62"/>
    <w:pPr>
      <w:spacing w:after="120" w:line="240" w:lineRule="auto"/>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rsid w:val="005F5B62"/>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F5B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B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5858">
      <w:bodyDiv w:val="1"/>
      <w:marLeft w:val="0"/>
      <w:marRight w:val="0"/>
      <w:marTop w:val="0"/>
      <w:marBottom w:val="0"/>
      <w:divBdr>
        <w:top w:val="none" w:sz="0" w:space="0" w:color="auto"/>
        <w:left w:val="none" w:sz="0" w:space="0" w:color="auto"/>
        <w:bottom w:val="none" w:sz="0" w:space="0" w:color="auto"/>
        <w:right w:val="none" w:sz="0" w:space="0" w:color="auto"/>
      </w:divBdr>
    </w:div>
    <w:div w:id="148252082">
      <w:bodyDiv w:val="1"/>
      <w:marLeft w:val="0"/>
      <w:marRight w:val="0"/>
      <w:marTop w:val="0"/>
      <w:marBottom w:val="0"/>
      <w:divBdr>
        <w:top w:val="none" w:sz="0" w:space="0" w:color="auto"/>
        <w:left w:val="none" w:sz="0" w:space="0" w:color="auto"/>
        <w:bottom w:val="none" w:sz="0" w:space="0" w:color="auto"/>
        <w:right w:val="none" w:sz="0" w:space="0" w:color="auto"/>
      </w:divBdr>
    </w:div>
    <w:div w:id="189949991">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511485221">
      <w:bodyDiv w:val="1"/>
      <w:marLeft w:val="0"/>
      <w:marRight w:val="0"/>
      <w:marTop w:val="0"/>
      <w:marBottom w:val="0"/>
      <w:divBdr>
        <w:top w:val="none" w:sz="0" w:space="0" w:color="auto"/>
        <w:left w:val="none" w:sz="0" w:space="0" w:color="auto"/>
        <w:bottom w:val="none" w:sz="0" w:space="0" w:color="auto"/>
        <w:right w:val="none" w:sz="0" w:space="0" w:color="auto"/>
      </w:divBdr>
    </w:div>
    <w:div w:id="17662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fv-ag\dfs\Dokumente\Investment%20Research\Wissen%20zu%20Fonds%20und%20Markt\Inflation\Inflation%20stat%20bundesam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fv-ag\dfs\Dokumente\Investment%20Research\Wissen%20zu%20Fonds%20und%20Markt\Inflation\Inflation%20stat%20bundesam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fv-ag\dfs\Dokumente\Investment%20Research\Wissen%20zu%20Fonds%20und%20Markt\Inflation\Inflation%20stat%20bundesam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Inflationsrate pro Jahr  in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Tabelle1!$D$3</c:f>
              <c:strCache>
                <c:ptCount val="1"/>
                <c:pt idx="0">
                  <c:v>Inflationsrate in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12"/>
              <c:layout>
                <c:manualLayout>
                  <c:x val="8.333333333333333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9E-4F8E-AB04-5DEA9FCB2B5E}"/>
                </c:ext>
              </c:extLst>
            </c:dLbl>
            <c:dLbl>
              <c:idx val="16"/>
              <c:layout>
                <c:manualLayout>
                  <c:x val="0"/>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3E-44E5-83AC-DCE0B8485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Roboto Slab" pitchFamily="2" charset="0"/>
                    <a:ea typeface="Roboto Slab" pitchFamily="2" charset="0"/>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Tabelle1!$C$4:$C$24</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Tabelle1!$D$4:$D$24</c:f>
              <c:numCache>
                <c:formatCode>0.0%</c:formatCode>
                <c:ptCount val="21"/>
                <c:pt idx="0">
                  <c:v>1.4E-2</c:v>
                </c:pt>
                <c:pt idx="1">
                  <c:v>0.02</c:v>
                </c:pt>
                <c:pt idx="2">
                  <c:v>1.2999999999999999E-2</c:v>
                </c:pt>
                <c:pt idx="3">
                  <c:v>1.0999999999999999E-2</c:v>
                </c:pt>
                <c:pt idx="4">
                  <c:v>1.7000000000000001E-2</c:v>
                </c:pt>
                <c:pt idx="5">
                  <c:v>1.4999999999999999E-2</c:v>
                </c:pt>
                <c:pt idx="6">
                  <c:v>1.6E-2</c:v>
                </c:pt>
                <c:pt idx="7">
                  <c:v>2.3E-2</c:v>
                </c:pt>
                <c:pt idx="8">
                  <c:v>2.5999999999999999E-2</c:v>
                </c:pt>
                <c:pt idx="9">
                  <c:v>3.0000000000000001E-3</c:v>
                </c:pt>
                <c:pt idx="10">
                  <c:v>1.0999999999999999E-2</c:v>
                </c:pt>
                <c:pt idx="11">
                  <c:v>2.1000000000000001E-2</c:v>
                </c:pt>
                <c:pt idx="12">
                  <c:v>0.02</c:v>
                </c:pt>
                <c:pt idx="13">
                  <c:v>1.4E-2</c:v>
                </c:pt>
                <c:pt idx="14">
                  <c:v>0.01</c:v>
                </c:pt>
                <c:pt idx="15">
                  <c:v>5.0000000000000001E-3</c:v>
                </c:pt>
                <c:pt idx="16">
                  <c:v>5.0000000000000001E-3</c:v>
                </c:pt>
                <c:pt idx="17">
                  <c:v>1.4999999999999999E-2</c:v>
                </c:pt>
                <c:pt idx="18">
                  <c:v>1.7999999999999999E-2</c:v>
                </c:pt>
                <c:pt idx="19">
                  <c:v>1.4E-2</c:v>
                </c:pt>
                <c:pt idx="20">
                  <c:v>5.0000000000000001E-3</c:v>
                </c:pt>
              </c:numCache>
            </c:numRef>
          </c:val>
          <c:extLst>
            <c:ext xmlns:c16="http://schemas.microsoft.com/office/drawing/2014/chart" uri="{C3380CC4-5D6E-409C-BE32-E72D297353CC}">
              <c16:uniqueId val="{00000001-383E-44E5-83AC-DCE0B848559B}"/>
            </c:ext>
          </c:extLst>
        </c:ser>
        <c:dLbls>
          <c:dLblPos val="outEnd"/>
          <c:showLegendKey val="0"/>
          <c:showVal val="1"/>
          <c:showCatName val="0"/>
          <c:showSerName val="0"/>
          <c:showPercent val="0"/>
          <c:showBubbleSize val="0"/>
        </c:dLbls>
        <c:gapWidth val="100"/>
        <c:overlap val="-24"/>
        <c:axId val="534377608"/>
        <c:axId val="534377936"/>
      </c:barChart>
      <c:catAx>
        <c:axId val="534377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de-DE"/>
          </a:p>
        </c:txPr>
        <c:crossAx val="534377936"/>
        <c:crosses val="autoZero"/>
        <c:auto val="1"/>
        <c:lblAlgn val="ctr"/>
        <c:lblOffset val="100"/>
        <c:noMultiLvlLbl val="0"/>
      </c:catAx>
      <c:valAx>
        <c:axId val="5343779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de-DE"/>
          </a:p>
        </c:txPr>
        <c:crossAx val="534377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Roboto Slab" pitchFamily="2" charset="0"/>
                <a:ea typeface="Roboto Slab" pitchFamily="2" charset="0"/>
                <a:cs typeface="+mn-cs"/>
              </a:defRPr>
            </a:pPr>
            <a:r>
              <a:rPr lang="en-US" sz="1200">
                <a:latin typeface="Roboto Slab" pitchFamily="2" charset="0"/>
                <a:ea typeface="Roboto Slab" pitchFamily="2" charset="0"/>
              </a:rPr>
              <a:t>Preisanstieg von Januar 2021 ggü. Jan. 2020 in %</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Roboto Slab" pitchFamily="2" charset="0"/>
              <a:ea typeface="Roboto Slab" pitchFamily="2" charset="0"/>
              <a:cs typeface="+mn-cs"/>
            </a:defRPr>
          </a:pPr>
          <a:endParaRPr lang="de-DE"/>
        </a:p>
      </c:txPr>
    </c:title>
    <c:autoTitleDeleted val="0"/>
    <c:plotArea>
      <c:layout/>
      <c:barChart>
        <c:barDir val="col"/>
        <c:grouping val="clustered"/>
        <c:varyColors val="0"/>
        <c:ser>
          <c:idx val="0"/>
          <c:order val="0"/>
          <c:tx>
            <c:strRef>
              <c:f>Tabelle1!$D$3</c:f>
              <c:strCache>
                <c:ptCount val="1"/>
                <c:pt idx="0">
                  <c:v>Inflationsrate in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2.3147880741854533E-17"/>
                  <c:y val="7.597340930674281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ED-4903-9DE4-CCE644082638}"/>
                </c:ext>
              </c:extLst>
            </c:dLbl>
            <c:dLbl>
              <c:idx val="4"/>
              <c:layout>
                <c:manualLayout>
                  <c:x val="0"/>
                  <c:y val="7.59734093067426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ED-4903-9DE4-CCE64408263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Roboto Slab" pitchFamily="2" charset="0"/>
                    <a:ea typeface="Roboto Slab" pitchFamily="2" charset="0"/>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Tabelle1!$C$28:$C$34</c:f>
              <c:strCache>
                <c:ptCount val="7"/>
                <c:pt idx="0">
                  <c:v>Sekundärrohstoffe (Recycling)</c:v>
                </c:pt>
                <c:pt idx="1">
                  <c:v>Futtermittel für Nutztiere</c:v>
                </c:pt>
                <c:pt idx="2">
                  <c:v>Nichteisenmetall/Halbzeug</c:v>
                </c:pt>
                <c:pt idx="3">
                  <c:v>Roheisen/Stahl</c:v>
                </c:pt>
                <c:pt idx="4">
                  <c:v>Düngemittel</c:v>
                </c:pt>
                <c:pt idx="5">
                  <c:v>Papier /Pappe</c:v>
                </c:pt>
                <c:pt idx="6">
                  <c:v>Energie</c:v>
                </c:pt>
              </c:strCache>
            </c:strRef>
          </c:cat>
          <c:val>
            <c:numRef>
              <c:f>Tabelle1!$D$28:$D$34</c:f>
              <c:numCache>
                <c:formatCode>0.0%</c:formatCode>
                <c:ptCount val="7"/>
                <c:pt idx="0">
                  <c:v>0.34599999999999997</c:v>
                </c:pt>
                <c:pt idx="1">
                  <c:v>0.11600000000000001</c:v>
                </c:pt>
                <c:pt idx="2">
                  <c:v>7.3999999999999996E-2</c:v>
                </c:pt>
                <c:pt idx="3">
                  <c:v>5.6000000000000001E-2</c:v>
                </c:pt>
                <c:pt idx="4">
                  <c:v>-0.04</c:v>
                </c:pt>
                <c:pt idx="5">
                  <c:v>-2.5999999999999999E-2</c:v>
                </c:pt>
                <c:pt idx="6">
                  <c:v>7.0000000000000001E-3</c:v>
                </c:pt>
              </c:numCache>
            </c:numRef>
          </c:val>
          <c:extLst>
            <c:ext xmlns:c16="http://schemas.microsoft.com/office/drawing/2014/chart" uri="{C3380CC4-5D6E-409C-BE32-E72D297353CC}">
              <c16:uniqueId val="{00000002-1FED-4903-9DE4-CCE644082638}"/>
            </c:ext>
          </c:extLst>
        </c:ser>
        <c:dLbls>
          <c:dLblPos val="outEnd"/>
          <c:showLegendKey val="0"/>
          <c:showVal val="1"/>
          <c:showCatName val="0"/>
          <c:showSerName val="0"/>
          <c:showPercent val="0"/>
          <c:showBubbleSize val="0"/>
        </c:dLbls>
        <c:gapWidth val="100"/>
        <c:overlap val="-24"/>
        <c:axId val="534377608"/>
        <c:axId val="534377936"/>
      </c:barChart>
      <c:catAx>
        <c:axId val="5343776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Roboto Slab" pitchFamily="2" charset="0"/>
                <a:ea typeface="Roboto Slab" pitchFamily="2" charset="0"/>
                <a:cs typeface="+mn-cs"/>
              </a:defRPr>
            </a:pPr>
            <a:endParaRPr lang="de-DE"/>
          </a:p>
        </c:txPr>
        <c:crossAx val="534377936"/>
        <c:crosses val="autoZero"/>
        <c:auto val="1"/>
        <c:lblAlgn val="ctr"/>
        <c:lblOffset val="100"/>
        <c:noMultiLvlLbl val="0"/>
      </c:catAx>
      <c:valAx>
        <c:axId val="534377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Roboto Slab" pitchFamily="2" charset="0"/>
                <a:ea typeface="Roboto Slab" pitchFamily="2" charset="0"/>
                <a:cs typeface="+mn-cs"/>
              </a:defRPr>
            </a:pPr>
            <a:endParaRPr lang="de-DE"/>
          </a:p>
        </c:txPr>
        <c:crossAx val="534377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Roboto Slab" pitchFamily="2" charset="0"/>
                <a:ea typeface="Roboto Slab" pitchFamily="2" charset="0"/>
                <a:cs typeface="+mn-cs"/>
              </a:defRPr>
            </a:pPr>
            <a:r>
              <a:rPr lang="de-DE" sz="1200">
                <a:latin typeface="Roboto Slab" pitchFamily="2" charset="0"/>
                <a:ea typeface="Roboto Slab" pitchFamily="2" charset="0"/>
              </a:rPr>
              <a:t>Geldvermögen</a:t>
            </a:r>
            <a:r>
              <a:rPr lang="de-DE" sz="1200" baseline="0">
                <a:latin typeface="Roboto Slab" pitchFamily="2" charset="0"/>
                <a:ea typeface="Roboto Slab" pitchFamily="2" charset="0"/>
              </a:rPr>
              <a:t> Privater Haushalte in Deutschland Ende 2020 in Mrd. Euro</a:t>
            </a:r>
            <a:endParaRPr lang="de-DE" sz="1200">
              <a:latin typeface="Roboto Slab" pitchFamily="2" charset="0"/>
              <a:ea typeface="Roboto Slab" pitchFamily="2"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Roboto Slab" pitchFamily="2" charset="0"/>
              <a:ea typeface="Roboto Slab" pitchFamily="2" charset="0"/>
              <a:cs typeface="+mn-cs"/>
            </a:defRPr>
          </a:pPr>
          <a:endParaRPr lang="de-D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16-4285-8B17-CB3757F9C4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16-4285-8B17-CB3757F9C4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16-4285-8B17-CB3757F9C4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16-4285-8B17-CB3757F9C40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16-4285-8B17-CB3757F9C40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E16-4285-8B17-CB3757F9C40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E16-4285-8B17-CB3757F9C40D}"/>
              </c:ext>
            </c:extLst>
          </c:dPt>
          <c:dLbls>
            <c:dLbl>
              <c:idx val="3"/>
              <c:layout>
                <c:manualLayout>
                  <c:x val="-1.6666666666666718E-2"/>
                  <c:y val="2.325581395348837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16-4285-8B17-CB3757F9C4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Roboto Slab" pitchFamily="2" charset="0"/>
                    <a:ea typeface="Roboto Slab" pitchFamily="2" charset="0"/>
                    <a:cs typeface="+mn-cs"/>
                  </a:defRPr>
                </a:pPr>
                <a:endParaRPr lang="de-DE"/>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Tabelle1!$C$49:$C$55</c:f>
              <c:strCache>
                <c:ptCount val="7"/>
                <c:pt idx="0">
                  <c:v>Sonstige Anlage</c:v>
                </c:pt>
                <c:pt idx="1">
                  <c:v>Versicherungen</c:v>
                </c:pt>
                <c:pt idx="2">
                  <c:v>Bargeld/Einlagen</c:v>
                </c:pt>
                <c:pt idx="3">
                  <c:v>Festverzinsliche</c:v>
                </c:pt>
                <c:pt idx="4">
                  <c:v>Zertifikate</c:v>
                </c:pt>
                <c:pt idx="5">
                  <c:v>Aktien</c:v>
                </c:pt>
                <c:pt idx="6">
                  <c:v>Investmentfonds</c:v>
                </c:pt>
              </c:strCache>
            </c:strRef>
          </c:cat>
          <c:val>
            <c:numRef>
              <c:f>Tabelle1!$D$49:$D$55</c:f>
              <c:numCache>
                <c:formatCode>0.0%</c:formatCode>
                <c:ptCount val="7"/>
                <c:pt idx="0">
                  <c:v>9.4E-2</c:v>
                </c:pt>
                <c:pt idx="1">
                  <c:v>0.28699999999999998</c:v>
                </c:pt>
                <c:pt idx="2">
                  <c:v>0.40699999999999997</c:v>
                </c:pt>
                <c:pt idx="3">
                  <c:v>1.2E-2</c:v>
                </c:pt>
                <c:pt idx="4">
                  <c:v>0.01</c:v>
                </c:pt>
                <c:pt idx="5">
                  <c:v>7.3999999999999996E-2</c:v>
                </c:pt>
                <c:pt idx="6">
                  <c:v>0.11600000000000001</c:v>
                </c:pt>
              </c:numCache>
            </c:numRef>
          </c:val>
          <c:extLst>
            <c:ext xmlns:c16="http://schemas.microsoft.com/office/drawing/2014/chart" uri="{C3380CC4-5D6E-409C-BE32-E72D297353CC}">
              <c16:uniqueId val="{0000000E-CE16-4285-8B17-CB3757F9C4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oboto Slab" pitchFamily="2" charset="0"/>
              <a:ea typeface="Roboto Slab" pitchFamily="2" charset="0"/>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Roboto Slab" pitchFamily="2" charset="0"/>
                <a:ea typeface="Roboto Slab" pitchFamily="2" charset="0"/>
                <a:cs typeface="+mn-cs"/>
              </a:defRPr>
            </a:pPr>
            <a:r>
              <a:rPr lang="de-DE" sz="1200">
                <a:latin typeface="Roboto Slab" pitchFamily="2" charset="0"/>
                <a:ea typeface="Roboto Slab" pitchFamily="2" charset="0"/>
              </a:rPr>
              <a:t>DAX Schlusskurse</a:t>
            </a:r>
            <a:r>
              <a:rPr lang="de-DE" sz="1200" baseline="0">
                <a:latin typeface="Roboto Slab" pitchFamily="2" charset="0"/>
                <a:ea typeface="Roboto Slab" pitchFamily="2" charset="0"/>
              </a:rPr>
              <a:t> seit Ende 2019</a:t>
            </a:r>
            <a:endParaRPr lang="de-DE" sz="1200">
              <a:latin typeface="Roboto Slab" pitchFamily="2" charset="0"/>
              <a:ea typeface="Roboto Slab" pitchFamily="2"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Roboto Slab" pitchFamily="2" charset="0"/>
              <a:ea typeface="Roboto Slab" pitchFamily="2" charset="0"/>
              <a:cs typeface="+mn-cs"/>
            </a:defRPr>
          </a:pPr>
          <a:endParaRPr lang="de-DE"/>
        </a:p>
      </c:txPr>
    </c:title>
    <c:autoTitleDeleted val="0"/>
    <c:plotArea>
      <c:layout/>
      <c:lineChart>
        <c:grouping val="stacked"/>
        <c:varyColors val="0"/>
        <c:ser>
          <c:idx val="0"/>
          <c:order val="0"/>
          <c:spPr>
            <a:ln w="28575" cap="rnd">
              <a:solidFill>
                <a:schemeClr val="accent1"/>
              </a:solidFill>
              <a:round/>
            </a:ln>
            <a:effectLst/>
          </c:spPr>
          <c:marker>
            <c:symbol val="none"/>
          </c:marker>
          <c:cat>
            <c:numRef>
              <c:f>Tabelle2!$B$4:$B$298</c:f>
              <c:numCache>
                <c:formatCode>m/d/yyyy</c:formatCode>
                <c:ptCount val="295"/>
                <c:pt idx="0">
                  <c:v>44256</c:v>
                </c:pt>
                <c:pt idx="1">
                  <c:v>44253</c:v>
                </c:pt>
                <c:pt idx="2">
                  <c:v>44252</c:v>
                </c:pt>
                <c:pt idx="3">
                  <c:v>44251</c:v>
                </c:pt>
                <c:pt idx="4">
                  <c:v>44250</c:v>
                </c:pt>
                <c:pt idx="5">
                  <c:v>44249</c:v>
                </c:pt>
                <c:pt idx="6">
                  <c:v>44246</c:v>
                </c:pt>
                <c:pt idx="7">
                  <c:v>44245</c:v>
                </c:pt>
                <c:pt idx="8">
                  <c:v>44244</c:v>
                </c:pt>
                <c:pt idx="9">
                  <c:v>44243</c:v>
                </c:pt>
                <c:pt idx="10">
                  <c:v>44242</c:v>
                </c:pt>
                <c:pt idx="11">
                  <c:v>44239</c:v>
                </c:pt>
                <c:pt idx="12">
                  <c:v>44238</c:v>
                </c:pt>
                <c:pt idx="13">
                  <c:v>44237</c:v>
                </c:pt>
                <c:pt idx="14">
                  <c:v>44236</c:v>
                </c:pt>
                <c:pt idx="15">
                  <c:v>44235</c:v>
                </c:pt>
                <c:pt idx="16">
                  <c:v>44232</c:v>
                </c:pt>
                <c:pt idx="17">
                  <c:v>44231</c:v>
                </c:pt>
                <c:pt idx="18">
                  <c:v>44230</c:v>
                </c:pt>
                <c:pt idx="19">
                  <c:v>44229</c:v>
                </c:pt>
                <c:pt idx="20">
                  <c:v>44228</c:v>
                </c:pt>
                <c:pt idx="21">
                  <c:v>44225</c:v>
                </c:pt>
                <c:pt idx="22">
                  <c:v>44224</c:v>
                </c:pt>
                <c:pt idx="23">
                  <c:v>44223</c:v>
                </c:pt>
                <c:pt idx="24">
                  <c:v>44222</c:v>
                </c:pt>
                <c:pt idx="25">
                  <c:v>44221</c:v>
                </c:pt>
                <c:pt idx="26">
                  <c:v>44218</c:v>
                </c:pt>
                <c:pt idx="27">
                  <c:v>44217</c:v>
                </c:pt>
                <c:pt idx="28">
                  <c:v>44216</c:v>
                </c:pt>
                <c:pt idx="29">
                  <c:v>44215</c:v>
                </c:pt>
                <c:pt idx="30">
                  <c:v>44214</c:v>
                </c:pt>
                <c:pt idx="31">
                  <c:v>44211</c:v>
                </c:pt>
                <c:pt idx="32">
                  <c:v>44210</c:v>
                </c:pt>
                <c:pt idx="33">
                  <c:v>44209</c:v>
                </c:pt>
                <c:pt idx="34">
                  <c:v>44208</c:v>
                </c:pt>
                <c:pt idx="35">
                  <c:v>44207</c:v>
                </c:pt>
                <c:pt idx="36">
                  <c:v>44204</c:v>
                </c:pt>
                <c:pt idx="37">
                  <c:v>44203</c:v>
                </c:pt>
                <c:pt idx="38">
                  <c:v>44202</c:v>
                </c:pt>
                <c:pt idx="39">
                  <c:v>44201</c:v>
                </c:pt>
                <c:pt idx="40">
                  <c:v>44200</c:v>
                </c:pt>
                <c:pt idx="41">
                  <c:v>44195</c:v>
                </c:pt>
                <c:pt idx="42">
                  <c:v>44194</c:v>
                </c:pt>
                <c:pt idx="43">
                  <c:v>44193</c:v>
                </c:pt>
                <c:pt idx="44">
                  <c:v>44188</c:v>
                </c:pt>
                <c:pt idx="45">
                  <c:v>44187</c:v>
                </c:pt>
                <c:pt idx="46">
                  <c:v>44186</c:v>
                </c:pt>
                <c:pt idx="47">
                  <c:v>44183</c:v>
                </c:pt>
                <c:pt idx="48">
                  <c:v>44182</c:v>
                </c:pt>
                <c:pt idx="49">
                  <c:v>44181</c:v>
                </c:pt>
                <c:pt idx="50">
                  <c:v>44180</c:v>
                </c:pt>
                <c:pt idx="51">
                  <c:v>44179</c:v>
                </c:pt>
                <c:pt idx="52">
                  <c:v>44176</c:v>
                </c:pt>
                <c:pt idx="53">
                  <c:v>44175</c:v>
                </c:pt>
                <c:pt idx="54">
                  <c:v>44174</c:v>
                </c:pt>
                <c:pt idx="55">
                  <c:v>44173</c:v>
                </c:pt>
                <c:pt idx="56">
                  <c:v>44172</c:v>
                </c:pt>
                <c:pt idx="57">
                  <c:v>44169</c:v>
                </c:pt>
                <c:pt idx="58">
                  <c:v>44168</c:v>
                </c:pt>
                <c:pt idx="59">
                  <c:v>44167</c:v>
                </c:pt>
                <c:pt idx="60">
                  <c:v>44166</c:v>
                </c:pt>
                <c:pt idx="61">
                  <c:v>44165</c:v>
                </c:pt>
                <c:pt idx="62">
                  <c:v>44162</c:v>
                </c:pt>
                <c:pt idx="63">
                  <c:v>44161</c:v>
                </c:pt>
                <c:pt idx="64">
                  <c:v>44160</c:v>
                </c:pt>
                <c:pt idx="65">
                  <c:v>44159</c:v>
                </c:pt>
                <c:pt idx="66">
                  <c:v>44158</c:v>
                </c:pt>
                <c:pt idx="67">
                  <c:v>44155</c:v>
                </c:pt>
                <c:pt idx="68">
                  <c:v>44154</c:v>
                </c:pt>
                <c:pt idx="69">
                  <c:v>44153</c:v>
                </c:pt>
                <c:pt idx="70">
                  <c:v>44152</c:v>
                </c:pt>
                <c:pt idx="71">
                  <c:v>44151</c:v>
                </c:pt>
                <c:pt idx="72">
                  <c:v>44148</c:v>
                </c:pt>
                <c:pt idx="73">
                  <c:v>44147</c:v>
                </c:pt>
                <c:pt idx="74">
                  <c:v>44146</c:v>
                </c:pt>
                <c:pt idx="75">
                  <c:v>44145</c:v>
                </c:pt>
                <c:pt idx="76">
                  <c:v>44144</c:v>
                </c:pt>
                <c:pt idx="77">
                  <c:v>44141</c:v>
                </c:pt>
                <c:pt idx="78">
                  <c:v>44140</c:v>
                </c:pt>
                <c:pt idx="79">
                  <c:v>44139</c:v>
                </c:pt>
                <c:pt idx="80">
                  <c:v>44138</c:v>
                </c:pt>
                <c:pt idx="81">
                  <c:v>44137</c:v>
                </c:pt>
                <c:pt idx="82">
                  <c:v>44134</c:v>
                </c:pt>
                <c:pt idx="83">
                  <c:v>44133</c:v>
                </c:pt>
                <c:pt idx="84">
                  <c:v>44132</c:v>
                </c:pt>
                <c:pt idx="85">
                  <c:v>44131</c:v>
                </c:pt>
                <c:pt idx="86">
                  <c:v>44130</c:v>
                </c:pt>
                <c:pt idx="87">
                  <c:v>44127</c:v>
                </c:pt>
                <c:pt idx="88">
                  <c:v>44126</c:v>
                </c:pt>
                <c:pt idx="89">
                  <c:v>44125</c:v>
                </c:pt>
                <c:pt idx="90">
                  <c:v>44124</c:v>
                </c:pt>
                <c:pt idx="91">
                  <c:v>44123</c:v>
                </c:pt>
                <c:pt idx="92">
                  <c:v>44120</c:v>
                </c:pt>
                <c:pt idx="93">
                  <c:v>44119</c:v>
                </c:pt>
                <c:pt idx="94">
                  <c:v>44118</c:v>
                </c:pt>
                <c:pt idx="95">
                  <c:v>44117</c:v>
                </c:pt>
                <c:pt idx="96">
                  <c:v>44116</c:v>
                </c:pt>
                <c:pt idx="97">
                  <c:v>44113</c:v>
                </c:pt>
                <c:pt idx="98">
                  <c:v>44112</c:v>
                </c:pt>
                <c:pt idx="99">
                  <c:v>44111</c:v>
                </c:pt>
                <c:pt idx="100">
                  <c:v>44110</c:v>
                </c:pt>
                <c:pt idx="101">
                  <c:v>44109</c:v>
                </c:pt>
                <c:pt idx="102">
                  <c:v>44106</c:v>
                </c:pt>
                <c:pt idx="103">
                  <c:v>44105</c:v>
                </c:pt>
                <c:pt idx="104">
                  <c:v>44104</c:v>
                </c:pt>
                <c:pt idx="105">
                  <c:v>44103</c:v>
                </c:pt>
                <c:pt idx="106">
                  <c:v>44102</c:v>
                </c:pt>
                <c:pt idx="107">
                  <c:v>44099</c:v>
                </c:pt>
                <c:pt idx="108">
                  <c:v>44098</c:v>
                </c:pt>
                <c:pt idx="109">
                  <c:v>44097</c:v>
                </c:pt>
                <c:pt idx="110">
                  <c:v>44096</c:v>
                </c:pt>
                <c:pt idx="111">
                  <c:v>44095</c:v>
                </c:pt>
                <c:pt idx="112">
                  <c:v>44092</c:v>
                </c:pt>
                <c:pt idx="113">
                  <c:v>44091</c:v>
                </c:pt>
                <c:pt idx="114">
                  <c:v>44090</c:v>
                </c:pt>
                <c:pt idx="115">
                  <c:v>44089</c:v>
                </c:pt>
                <c:pt idx="116">
                  <c:v>44088</c:v>
                </c:pt>
                <c:pt idx="117">
                  <c:v>44085</c:v>
                </c:pt>
                <c:pt idx="118">
                  <c:v>44084</c:v>
                </c:pt>
                <c:pt idx="119">
                  <c:v>44083</c:v>
                </c:pt>
                <c:pt idx="120">
                  <c:v>44082</c:v>
                </c:pt>
                <c:pt idx="121">
                  <c:v>44081</c:v>
                </c:pt>
                <c:pt idx="122">
                  <c:v>44078</c:v>
                </c:pt>
                <c:pt idx="123">
                  <c:v>44077</c:v>
                </c:pt>
                <c:pt idx="124">
                  <c:v>44076</c:v>
                </c:pt>
                <c:pt idx="125">
                  <c:v>44075</c:v>
                </c:pt>
                <c:pt idx="126">
                  <c:v>44074</c:v>
                </c:pt>
                <c:pt idx="127">
                  <c:v>44071</c:v>
                </c:pt>
                <c:pt idx="128">
                  <c:v>44070</c:v>
                </c:pt>
                <c:pt idx="129">
                  <c:v>44069</c:v>
                </c:pt>
                <c:pt idx="130">
                  <c:v>44068</c:v>
                </c:pt>
                <c:pt idx="131">
                  <c:v>44067</c:v>
                </c:pt>
                <c:pt idx="132">
                  <c:v>44064</c:v>
                </c:pt>
                <c:pt idx="133">
                  <c:v>44063</c:v>
                </c:pt>
                <c:pt idx="134">
                  <c:v>44062</c:v>
                </c:pt>
                <c:pt idx="135">
                  <c:v>44061</c:v>
                </c:pt>
                <c:pt idx="136">
                  <c:v>44060</c:v>
                </c:pt>
                <c:pt idx="137">
                  <c:v>44057</c:v>
                </c:pt>
                <c:pt idx="138">
                  <c:v>44056</c:v>
                </c:pt>
                <c:pt idx="139">
                  <c:v>44055</c:v>
                </c:pt>
                <c:pt idx="140">
                  <c:v>44054</c:v>
                </c:pt>
                <c:pt idx="141">
                  <c:v>44053</c:v>
                </c:pt>
                <c:pt idx="142">
                  <c:v>44050</c:v>
                </c:pt>
                <c:pt idx="143">
                  <c:v>44049</c:v>
                </c:pt>
                <c:pt idx="144">
                  <c:v>44048</c:v>
                </c:pt>
                <c:pt idx="145">
                  <c:v>44047</c:v>
                </c:pt>
                <c:pt idx="146">
                  <c:v>44046</c:v>
                </c:pt>
                <c:pt idx="147">
                  <c:v>44043</c:v>
                </c:pt>
                <c:pt idx="148">
                  <c:v>44042</c:v>
                </c:pt>
                <c:pt idx="149">
                  <c:v>44041</c:v>
                </c:pt>
                <c:pt idx="150">
                  <c:v>44040</c:v>
                </c:pt>
                <c:pt idx="151">
                  <c:v>44039</c:v>
                </c:pt>
                <c:pt idx="152">
                  <c:v>44036</c:v>
                </c:pt>
                <c:pt idx="153">
                  <c:v>44035</c:v>
                </c:pt>
                <c:pt idx="154">
                  <c:v>44034</c:v>
                </c:pt>
                <c:pt idx="155">
                  <c:v>44033</c:v>
                </c:pt>
                <c:pt idx="156">
                  <c:v>44032</c:v>
                </c:pt>
                <c:pt idx="157">
                  <c:v>44029</c:v>
                </c:pt>
                <c:pt idx="158">
                  <c:v>44028</c:v>
                </c:pt>
                <c:pt idx="159">
                  <c:v>44027</c:v>
                </c:pt>
                <c:pt idx="160">
                  <c:v>44026</c:v>
                </c:pt>
                <c:pt idx="161">
                  <c:v>44025</c:v>
                </c:pt>
                <c:pt idx="162">
                  <c:v>44022</c:v>
                </c:pt>
                <c:pt idx="163">
                  <c:v>44021</c:v>
                </c:pt>
                <c:pt idx="164">
                  <c:v>44020</c:v>
                </c:pt>
                <c:pt idx="165">
                  <c:v>44019</c:v>
                </c:pt>
                <c:pt idx="166">
                  <c:v>44018</c:v>
                </c:pt>
                <c:pt idx="167">
                  <c:v>44015</c:v>
                </c:pt>
                <c:pt idx="168">
                  <c:v>44014</c:v>
                </c:pt>
                <c:pt idx="169">
                  <c:v>44013</c:v>
                </c:pt>
                <c:pt idx="170">
                  <c:v>44012</c:v>
                </c:pt>
                <c:pt idx="171">
                  <c:v>44011</c:v>
                </c:pt>
                <c:pt idx="172">
                  <c:v>44008</c:v>
                </c:pt>
                <c:pt idx="173">
                  <c:v>44007</c:v>
                </c:pt>
                <c:pt idx="174">
                  <c:v>44006</c:v>
                </c:pt>
                <c:pt idx="175">
                  <c:v>44005</c:v>
                </c:pt>
                <c:pt idx="176">
                  <c:v>44004</c:v>
                </c:pt>
                <c:pt idx="177">
                  <c:v>44001</c:v>
                </c:pt>
                <c:pt idx="178">
                  <c:v>44000</c:v>
                </c:pt>
                <c:pt idx="179">
                  <c:v>43999</c:v>
                </c:pt>
                <c:pt idx="180">
                  <c:v>43998</c:v>
                </c:pt>
                <c:pt idx="181">
                  <c:v>43997</c:v>
                </c:pt>
                <c:pt idx="182">
                  <c:v>43994</c:v>
                </c:pt>
                <c:pt idx="183">
                  <c:v>43993</c:v>
                </c:pt>
                <c:pt idx="184">
                  <c:v>43992</c:v>
                </c:pt>
                <c:pt idx="185">
                  <c:v>43991</c:v>
                </c:pt>
                <c:pt idx="186">
                  <c:v>43990</c:v>
                </c:pt>
                <c:pt idx="187">
                  <c:v>43987</c:v>
                </c:pt>
                <c:pt idx="188">
                  <c:v>43986</c:v>
                </c:pt>
                <c:pt idx="189">
                  <c:v>43985</c:v>
                </c:pt>
                <c:pt idx="190">
                  <c:v>43984</c:v>
                </c:pt>
                <c:pt idx="191">
                  <c:v>43980</c:v>
                </c:pt>
                <c:pt idx="192">
                  <c:v>43979</c:v>
                </c:pt>
                <c:pt idx="193">
                  <c:v>43978</c:v>
                </c:pt>
                <c:pt idx="194">
                  <c:v>43977</c:v>
                </c:pt>
                <c:pt idx="195">
                  <c:v>43976</c:v>
                </c:pt>
                <c:pt idx="196">
                  <c:v>43973</c:v>
                </c:pt>
                <c:pt idx="197">
                  <c:v>43972</c:v>
                </c:pt>
                <c:pt idx="198">
                  <c:v>43971</c:v>
                </c:pt>
                <c:pt idx="199">
                  <c:v>43970</c:v>
                </c:pt>
                <c:pt idx="200">
                  <c:v>43969</c:v>
                </c:pt>
                <c:pt idx="201">
                  <c:v>43966</c:v>
                </c:pt>
                <c:pt idx="202">
                  <c:v>43965</c:v>
                </c:pt>
                <c:pt idx="203">
                  <c:v>43964</c:v>
                </c:pt>
                <c:pt idx="204">
                  <c:v>43963</c:v>
                </c:pt>
                <c:pt idx="205">
                  <c:v>43962</c:v>
                </c:pt>
                <c:pt idx="206">
                  <c:v>43959</c:v>
                </c:pt>
                <c:pt idx="207">
                  <c:v>43958</c:v>
                </c:pt>
                <c:pt idx="208">
                  <c:v>43957</c:v>
                </c:pt>
                <c:pt idx="209">
                  <c:v>43956</c:v>
                </c:pt>
                <c:pt idx="210">
                  <c:v>43955</c:v>
                </c:pt>
                <c:pt idx="211">
                  <c:v>43951</c:v>
                </c:pt>
                <c:pt idx="212">
                  <c:v>43950</c:v>
                </c:pt>
                <c:pt idx="213">
                  <c:v>43949</c:v>
                </c:pt>
                <c:pt idx="214">
                  <c:v>43948</c:v>
                </c:pt>
                <c:pt idx="215">
                  <c:v>43945</c:v>
                </c:pt>
                <c:pt idx="216">
                  <c:v>43944</c:v>
                </c:pt>
                <c:pt idx="217">
                  <c:v>43943</c:v>
                </c:pt>
                <c:pt idx="218">
                  <c:v>43942</c:v>
                </c:pt>
                <c:pt idx="219">
                  <c:v>43941</c:v>
                </c:pt>
                <c:pt idx="220">
                  <c:v>43938</c:v>
                </c:pt>
                <c:pt idx="221">
                  <c:v>43937</c:v>
                </c:pt>
                <c:pt idx="222">
                  <c:v>43936</c:v>
                </c:pt>
                <c:pt idx="223">
                  <c:v>43935</c:v>
                </c:pt>
                <c:pt idx="224">
                  <c:v>43930</c:v>
                </c:pt>
                <c:pt idx="225">
                  <c:v>43929</c:v>
                </c:pt>
                <c:pt idx="226">
                  <c:v>43928</c:v>
                </c:pt>
                <c:pt idx="227">
                  <c:v>43927</c:v>
                </c:pt>
                <c:pt idx="228">
                  <c:v>43924</c:v>
                </c:pt>
                <c:pt idx="229">
                  <c:v>43923</c:v>
                </c:pt>
                <c:pt idx="230">
                  <c:v>43922</c:v>
                </c:pt>
                <c:pt idx="231">
                  <c:v>43921</c:v>
                </c:pt>
                <c:pt idx="232">
                  <c:v>43920</c:v>
                </c:pt>
                <c:pt idx="233">
                  <c:v>43917</c:v>
                </c:pt>
                <c:pt idx="234">
                  <c:v>43916</c:v>
                </c:pt>
                <c:pt idx="235">
                  <c:v>43915</c:v>
                </c:pt>
                <c:pt idx="236">
                  <c:v>43914</c:v>
                </c:pt>
                <c:pt idx="237">
                  <c:v>43913</c:v>
                </c:pt>
                <c:pt idx="238">
                  <c:v>43910</c:v>
                </c:pt>
                <c:pt idx="239">
                  <c:v>43909</c:v>
                </c:pt>
                <c:pt idx="240">
                  <c:v>43908</c:v>
                </c:pt>
                <c:pt idx="241">
                  <c:v>43907</c:v>
                </c:pt>
                <c:pt idx="242">
                  <c:v>43906</c:v>
                </c:pt>
                <c:pt idx="243">
                  <c:v>43903</c:v>
                </c:pt>
                <c:pt idx="244">
                  <c:v>43902</c:v>
                </c:pt>
                <c:pt idx="245">
                  <c:v>43901</c:v>
                </c:pt>
                <c:pt idx="246">
                  <c:v>43900</c:v>
                </c:pt>
                <c:pt idx="247">
                  <c:v>43899</c:v>
                </c:pt>
                <c:pt idx="248">
                  <c:v>43896</c:v>
                </c:pt>
                <c:pt idx="249">
                  <c:v>43895</c:v>
                </c:pt>
                <c:pt idx="250">
                  <c:v>43894</c:v>
                </c:pt>
                <c:pt idx="251">
                  <c:v>43893</c:v>
                </c:pt>
                <c:pt idx="252">
                  <c:v>43892</c:v>
                </c:pt>
                <c:pt idx="253">
                  <c:v>43889</c:v>
                </c:pt>
                <c:pt idx="254">
                  <c:v>43888</c:v>
                </c:pt>
                <c:pt idx="255">
                  <c:v>43887</c:v>
                </c:pt>
                <c:pt idx="256">
                  <c:v>43886</c:v>
                </c:pt>
                <c:pt idx="257">
                  <c:v>43885</c:v>
                </c:pt>
                <c:pt idx="258">
                  <c:v>43882</c:v>
                </c:pt>
                <c:pt idx="259">
                  <c:v>43881</c:v>
                </c:pt>
                <c:pt idx="260">
                  <c:v>43880</c:v>
                </c:pt>
                <c:pt idx="261">
                  <c:v>43879</c:v>
                </c:pt>
                <c:pt idx="262">
                  <c:v>43878</c:v>
                </c:pt>
                <c:pt idx="263">
                  <c:v>43875</c:v>
                </c:pt>
                <c:pt idx="264">
                  <c:v>43874</c:v>
                </c:pt>
                <c:pt idx="265">
                  <c:v>43873</c:v>
                </c:pt>
                <c:pt idx="266">
                  <c:v>43872</c:v>
                </c:pt>
                <c:pt idx="267">
                  <c:v>43871</c:v>
                </c:pt>
                <c:pt idx="268">
                  <c:v>43868</c:v>
                </c:pt>
                <c:pt idx="269">
                  <c:v>43867</c:v>
                </c:pt>
                <c:pt idx="270">
                  <c:v>43866</c:v>
                </c:pt>
                <c:pt idx="271">
                  <c:v>43865</c:v>
                </c:pt>
                <c:pt idx="272">
                  <c:v>43864</c:v>
                </c:pt>
                <c:pt idx="273">
                  <c:v>43861</c:v>
                </c:pt>
                <c:pt idx="274">
                  <c:v>43860</c:v>
                </c:pt>
                <c:pt idx="275">
                  <c:v>43859</c:v>
                </c:pt>
                <c:pt idx="276">
                  <c:v>43858</c:v>
                </c:pt>
                <c:pt idx="277">
                  <c:v>43857</c:v>
                </c:pt>
                <c:pt idx="278">
                  <c:v>43854</c:v>
                </c:pt>
                <c:pt idx="279">
                  <c:v>43853</c:v>
                </c:pt>
                <c:pt idx="280">
                  <c:v>43852</c:v>
                </c:pt>
                <c:pt idx="281">
                  <c:v>43851</c:v>
                </c:pt>
                <c:pt idx="282">
                  <c:v>43850</c:v>
                </c:pt>
                <c:pt idx="283">
                  <c:v>43847</c:v>
                </c:pt>
                <c:pt idx="284">
                  <c:v>43846</c:v>
                </c:pt>
                <c:pt idx="285">
                  <c:v>43845</c:v>
                </c:pt>
                <c:pt idx="286">
                  <c:v>43844</c:v>
                </c:pt>
                <c:pt idx="287">
                  <c:v>43843</c:v>
                </c:pt>
                <c:pt idx="288">
                  <c:v>43840</c:v>
                </c:pt>
                <c:pt idx="289">
                  <c:v>43839</c:v>
                </c:pt>
                <c:pt idx="290">
                  <c:v>43838</c:v>
                </c:pt>
                <c:pt idx="291">
                  <c:v>43837</c:v>
                </c:pt>
                <c:pt idx="292">
                  <c:v>43836</c:v>
                </c:pt>
                <c:pt idx="293">
                  <c:v>43833</c:v>
                </c:pt>
                <c:pt idx="294">
                  <c:v>43832</c:v>
                </c:pt>
              </c:numCache>
            </c:numRef>
          </c:cat>
          <c:val>
            <c:numRef>
              <c:f>Tabelle2!$C$4:$C$298</c:f>
              <c:numCache>
                <c:formatCode>#,##0</c:formatCode>
                <c:ptCount val="295"/>
                <c:pt idx="0">
                  <c:v>14012.82</c:v>
                </c:pt>
                <c:pt idx="1">
                  <c:v>13786.29</c:v>
                </c:pt>
                <c:pt idx="2">
                  <c:v>13879.33</c:v>
                </c:pt>
                <c:pt idx="3">
                  <c:v>13976</c:v>
                </c:pt>
                <c:pt idx="4">
                  <c:v>13864.81</c:v>
                </c:pt>
                <c:pt idx="5">
                  <c:v>13950.04</c:v>
                </c:pt>
                <c:pt idx="6">
                  <c:v>13993.23</c:v>
                </c:pt>
                <c:pt idx="7">
                  <c:v>13886.93</c:v>
                </c:pt>
                <c:pt idx="8">
                  <c:v>13909.27</c:v>
                </c:pt>
                <c:pt idx="9">
                  <c:v>14064.6</c:v>
                </c:pt>
                <c:pt idx="10">
                  <c:v>14109.48</c:v>
                </c:pt>
                <c:pt idx="11">
                  <c:v>14049.89</c:v>
                </c:pt>
                <c:pt idx="12">
                  <c:v>14040.91</c:v>
                </c:pt>
                <c:pt idx="13">
                  <c:v>13932.97</c:v>
                </c:pt>
                <c:pt idx="14">
                  <c:v>14011.8</c:v>
                </c:pt>
                <c:pt idx="15">
                  <c:v>14059.91</c:v>
                </c:pt>
                <c:pt idx="16">
                  <c:v>14056.72</c:v>
                </c:pt>
                <c:pt idx="17">
                  <c:v>14060.29</c:v>
                </c:pt>
                <c:pt idx="18">
                  <c:v>13933.63</c:v>
                </c:pt>
                <c:pt idx="19">
                  <c:v>13835.16</c:v>
                </c:pt>
                <c:pt idx="20">
                  <c:v>13622.02</c:v>
                </c:pt>
                <c:pt idx="21">
                  <c:v>13432.87</c:v>
                </c:pt>
                <c:pt idx="22">
                  <c:v>13665.93</c:v>
                </c:pt>
                <c:pt idx="23">
                  <c:v>13620.46</c:v>
                </c:pt>
                <c:pt idx="24">
                  <c:v>13870.99</c:v>
                </c:pt>
                <c:pt idx="25">
                  <c:v>13643.95</c:v>
                </c:pt>
                <c:pt idx="26">
                  <c:v>13873.97</c:v>
                </c:pt>
                <c:pt idx="27">
                  <c:v>13906.67</c:v>
                </c:pt>
                <c:pt idx="28">
                  <c:v>13921.37</c:v>
                </c:pt>
                <c:pt idx="29">
                  <c:v>13815.06</c:v>
                </c:pt>
                <c:pt idx="30">
                  <c:v>13848.35</c:v>
                </c:pt>
                <c:pt idx="31">
                  <c:v>13787.73</c:v>
                </c:pt>
                <c:pt idx="32">
                  <c:v>13988.7</c:v>
                </c:pt>
                <c:pt idx="33">
                  <c:v>13939.71</c:v>
                </c:pt>
                <c:pt idx="34">
                  <c:v>13925.06</c:v>
                </c:pt>
                <c:pt idx="35">
                  <c:v>13936.66</c:v>
                </c:pt>
                <c:pt idx="36">
                  <c:v>14049.53</c:v>
                </c:pt>
                <c:pt idx="37">
                  <c:v>13968.24</c:v>
                </c:pt>
                <c:pt idx="38">
                  <c:v>13891.97</c:v>
                </c:pt>
                <c:pt idx="39">
                  <c:v>13651.22</c:v>
                </c:pt>
                <c:pt idx="40">
                  <c:v>13726.74</c:v>
                </c:pt>
                <c:pt idx="41">
                  <c:v>13718.78</c:v>
                </c:pt>
                <c:pt idx="42">
                  <c:v>13761.38</c:v>
                </c:pt>
                <c:pt idx="43">
                  <c:v>13790.29</c:v>
                </c:pt>
                <c:pt idx="44">
                  <c:v>13587.23</c:v>
                </c:pt>
                <c:pt idx="45">
                  <c:v>13418.11</c:v>
                </c:pt>
                <c:pt idx="46">
                  <c:v>13246.3</c:v>
                </c:pt>
                <c:pt idx="47">
                  <c:v>13630.51</c:v>
                </c:pt>
                <c:pt idx="48">
                  <c:v>13667.25</c:v>
                </c:pt>
                <c:pt idx="49">
                  <c:v>13565.98</c:v>
                </c:pt>
                <c:pt idx="50">
                  <c:v>13362.87</c:v>
                </c:pt>
                <c:pt idx="51">
                  <c:v>13223.16</c:v>
                </c:pt>
                <c:pt idx="52">
                  <c:v>13114.3</c:v>
                </c:pt>
                <c:pt idx="53">
                  <c:v>13295.73</c:v>
                </c:pt>
                <c:pt idx="54">
                  <c:v>13340.26</c:v>
                </c:pt>
                <c:pt idx="55">
                  <c:v>13278.49</c:v>
                </c:pt>
                <c:pt idx="56">
                  <c:v>13271</c:v>
                </c:pt>
                <c:pt idx="57">
                  <c:v>13298.96</c:v>
                </c:pt>
                <c:pt idx="58">
                  <c:v>13252.86</c:v>
                </c:pt>
                <c:pt idx="59">
                  <c:v>13313.24</c:v>
                </c:pt>
                <c:pt idx="60">
                  <c:v>13382.3</c:v>
                </c:pt>
                <c:pt idx="61">
                  <c:v>13291.16</c:v>
                </c:pt>
                <c:pt idx="62">
                  <c:v>13335.68</c:v>
                </c:pt>
                <c:pt idx="63">
                  <c:v>13286.57</c:v>
                </c:pt>
                <c:pt idx="64">
                  <c:v>13289.8</c:v>
                </c:pt>
                <c:pt idx="65">
                  <c:v>13292.44</c:v>
                </c:pt>
                <c:pt idx="66">
                  <c:v>13126.97</c:v>
                </c:pt>
                <c:pt idx="67">
                  <c:v>13137.25</c:v>
                </c:pt>
                <c:pt idx="68">
                  <c:v>13086.16</c:v>
                </c:pt>
                <c:pt idx="69">
                  <c:v>13201.89</c:v>
                </c:pt>
                <c:pt idx="70">
                  <c:v>13133.47</c:v>
                </c:pt>
                <c:pt idx="71">
                  <c:v>13138.61</c:v>
                </c:pt>
                <c:pt idx="72">
                  <c:v>13076.72</c:v>
                </c:pt>
                <c:pt idx="73">
                  <c:v>13052.95</c:v>
                </c:pt>
                <c:pt idx="74">
                  <c:v>13216.18</c:v>
                </c:pt>
                <c:pt idx="75">
                  <c:v>13163.11</c:v>
                </c:pt>
                <c:pt idx="76">
                  <c:v>13095.97</c:v>
                </c:pt>
                <c:pt idx="77">
                  <c:v>12480.02</c:v>
                </c:pt>
                <c:pt idx="78">
                  <c:v>12568.09</c:v>
                </c:pt>
                <c:pt idx="79">
                  <c:v>12324.22</c:v>
                </c:pt>
                <c:pt idx="80">
                  <c:v>12088.98</c:v>
                </c:pt>
                <c:pt idx="81">
                  <c:v>11788.28</c:v>
                </c:pt>
                <c:pt idx="82">
                  <c:v>11556.48</c:v>
                </c:pt>
                <c:pt idx="83">
                  <c:v>11598.07</c:v>
                </c:pt>
                <c:pt idx="84">
                  <c:v>11560.51</c:v>
                </c:pt>
                <c:pt idx="85">
                  <c:v>12063.57</c:v>
                </c:pt>
                <c:pt idx="86">
                  <c:v>12177.18</c:v>
                </c:pt>
                <c:pt idx="87">
                  <c:v>12645.75</c:v>
                </c:pt>
                <c:pt idx="88">
                  <c:v>12543.06</c:v>
                </c:pt>
                <c:pt idx="89">
                  <c:v>12557.64</c:v>
                </c:pt>
                <c:pt idx="90">
                  <c:v>12736.95</c:v>
                </c:pt>
                <c:pt idx="91">
                  <c:v>12854.66</c:v>
                </c:pt>
                <c:pt idx="92">
                  <c:v>12908.99</c:v>
                </c:pt>
                <c:pt idx="93">
                  <c:v>12703.75</c:v>
                </c:pt>
                <c:pt idx="94">
                  <c:v>13028.06</c:v>
                </c:pt>
                <c:pt idx="95">
                  <c:v>13018.99</c:v>
                </c:pt>
                <c:pt idx="96">
                  <c:v>13138.41</c:v>
                </c:pt>
                <c:pt idx="97">
                  <c:v>13051.23</c:v>
                </c:pt>
                <c:pt idx="98">
                  <c:v>13042.21</c:v>
                </c:pt>
                <c:pt idx="99">
                  <c:v>12928.57</c:v>
                </c:pt>
                <c:pt idx="100">
                  <c:v>12906.02</c:v>
                </c:pt>
                <c:pt idx="101">
                  <c:v>12828.31</c:v>
                </c:pt>
                <c:pt idx="102">
                  <c:v>12689.04</c:v>
                </c:pt>
                <c:pt idx="103">
                  <c:v>12730.77</c:v>
                </c:pt>
                <c:pt idx="104">
                  <c:v>12760.73</c:v>
                </c:pt>
                <c:pt idx="105">
                  <c:v>12825.82</c:v>
                </c:pt>
                <c:pt idx="106">
                  <c:v>12870.87</c:v>
                </c:pt>
                <c:pt idx="107">
                  <c:v>12469.2</c:v>
                </c:pt>
                <c:pt idx="108">
                  <c:v>12606.57</c:v>
                </c:pt>
                <c:pt idx="109">
                  <c:v>12642.97</c:v>
                </c:pt>
                <c:pt idx="110">
                  <c:v>12594.39</c:v>
                </c:pt>
                <c:pt idx="111">
                  <c:v>12542.44</c:v>
                </c:pt>
                <c:pt idx="112">
                  <c:v>13116.25</c:v>
                </c:pt>
                <c:pt idx="113">
                  <c:v>13208.12</c:v>
                </c:pt>
                <c:pt idx="114">
                  <c:v>13255.37</c:v>
                </c:pt>
                <c:pt idx="115">
                  <c:v>13217.67</c:v>
                </c:pt>
                <c:pt idx="116">
                  <c:v>13193.66</c:v>
                </c:pt>
                <c:pt idx="117">
                  <c:v>13202.84</c:v>
                </c:pt>
                <c:pt idx="118">
                  <c:v>13208.89</c:v>
                </c:pt>
                <c:pt idx="119">
                  <c:v>13237.21</c:v>
                </c:pt>
                <c:pt idx="120">
                  <c:v>12968.33</c:v>
                </c:pt>
                <c:pt idx="121">
                  <c:v>13100.28</c:v>
                </c:pt>
                <c:pt idx="122">
                  <c:v>12842.66</c:v>
                </c:pt>
                <c:pt idx="123">
                  <c:v>13057.77</c:v>
                </c:pt>
                <c:pt idx="124">
                  <c:v>13243.43</c:v>
                </c:pt>
                <c:pt idx="125">
                  <c:v>12974.25</c:v>
                </c:pt>
                <c:pt idx="126">
                  <c:v>12945.38</c:v>
                </c:pt>
                <c:pt idx="127">
                  <c:v>13033.2</c:v>
                </c:pt>
                <c:pt idx="128">
                  <c:v>13096.36</c:v>
                </c:pt>
                <c:pt idx="129">
                  <c:v>13190.15</c:v>
                </c:pt>
                <c:pt idx="130">
                  <c:v>13061.62</c:v>
                </c:pt>
                <c:pt idx="131">
                  <c:v>13066.54</c:v>
                </c:pt>
                <c:pt idx="132">
                  <c:v>12764.8</c:v>
                </c:pt>
                <c:pt idx="133">
                  <c:v>12830</c:v>
                </c:pt>
                <c:pt idx="134">
                  <c:v>12977.33</c:v>
                </c:pt>
                <c:pt idx="135">
                  <c:v>12881.76</c:v>
                </c:pt>
                <c:pt idx="136">
                  <c:v>12920.66</c:v>
                </c:pt>
                <c:pt idx="137">
                  <c:v>12901.34</c:v>
                </c:pt>
                <c:pt idx="138">
                  <c:v>12993.71</c:v>
                </c:pt>
                <c:pt idx="139">
                  <c:v>13058.63</c:v>
                </c:pt>
                <c:pt idx="140">
                  <c:v>12946.89</c:v>
                </c:pt>
                <c:pt idx="141">
                  <c:v>12687.53</c:v>
                </c:pt>
                <c:pt idx="142">
                  <c:v>12674.88</c:v>
                </c:pt>
                <c:pt idx="143">
                  <c:v>12591.68</c:v>
                </c:pt>
                <c:pt idx="144">
                  <c:v>12660.25</c:v>
                </c:pt>
                <c:pt idx="145">
                  <c:v>12600.87</c:v>
                </c:pt>
                <c:pt idx="146">
                  <c:v>12646.98</c:v>
                </c:pt>
                <c:pt idx="147">
                  <c:v>12313.36</c:v>
                </c:pt>
                <c:pt idx="148">
                  <c:v>12379.65</c:v>
                </c:pt>
                <c:pt idx="149">
                  <c:v>12822.26</c:v>
                </c:pt>
                <c:pt idx="150">
                  <c:v>12835.28</c:v>
                </c:pt>
                <c:pt idx="151">
                  <c:v>12838.66</c:v>
                </c:pt>
                <c:pt idx="152">
                  <c:v>12838.06</c:v>
                </c:pt>
                <c:pt idx="153">
                  <c:v>13103.39</c:v>
                </c:pt>
                <c:pt idx="154">
                  <c:v>13104.25</c:v>
                </c:pt>
                <c:pt idx="155">
                  <c:v>13171.83</c:v>
                </c:pt>
                <c:pt idx="156">
                  <c:v>13046.92</c:v>
                </c:pt>
                <c:pt idx="157">
                  <c:v>12919.61</c:v>
                </c:pt>
                <c:pt idx="158">
                  <c:v>12874.97</c:v>
                </c:pt>
                <c:pt idx="159">
                  <c:v>12930.98</c:v>
                </c:pt>
                <c:pt idx="160">
                  <c:v>12697.36</c:v>
                </c:pt>
                <c:pt idx="161">
                  <c:v>12799.97</c:v>
                </c:pt>
                <c:pt idx="162">
                  <c:v>12633.71</c:v>
                </c:pt>
                <c:pt idx="163">
                  <c:v>12489.46</c:v>
                </c:pt>
                <c:pt idx="164">
                  <c:v>12494.81</c:v>
                </c:pt>
                <c:pt idx="165">
                  <c:v>12616.8</c:v>
                </c:pt>
                <c:pt idx="166">
                  <c:v>12733.45</c:v>
                </c:pt>
                <c:pt idx="167">
                  <c:v>12528.18</c:v>
                </c:pt>
                <c:pt idx="168">
                  <c:v>12608.46</c:v>
                </c:pt>
                <c:pt idx="169">
                  <c:v>12260.57</c:v>
                </c:pt>
                <c:pt idx="170">
                  <c:v>12310.93</c:v>
                </c:pt>
                <c:pt idx="171">
                  <c:v>12232.12</c:v>
                </c:pt>
                <c:pt idx="172">
                  <c:v>12089.39</c:v>
                </c:pt>
                <c:pt idx="173">
                  <c:v>12177.87</c:v>
                </c:pt>
                <c:pt idx="174">
                  <c:v>12093.94</c:v>
                </c:pt>
                <c:pt idx="175">
                  <c:v>12523.76</c:v>
                </c:pt>
                <c:pt idx="176">
                  <c:v>12262.97</c:v>
                </c:pt>
                <c:pt idx="177">
                  <c:v>12330.76</c:v>
                </c:pt>
                <c:pt idx="178">
                  <c:v>12281.53</c:v>
                </c:pt>
                <c:pt idx="179">
                  <c:v>12382.14</c:v>
                </c:pt>
                <c:pt idx="180">
                  <c:v>12315.66</c:v>
                </c:pt>
                <c:pt idx="181">
                  <c:v>11911.35</c:v>
                </c:pt>
                <c:pt idx="182">
                  <c:v>11949.28</c:v>
                </c:pt>
                <c:pt idx="183">
                  <c:v>11970.29</c:v>
                </c:pt>
                <c:pt idx="184">
                  <c:v>12530.16</c:v>
                </c:pt>
                <c:pt idx="185">
                  <c:v>12617.99</c:v>
                </c:pt>
                <c:pt idx="186">
                  <c:v>12819.59</c:v>
                </c:pt>
                <c:pt idx="187">
                  <c:v>12847.68</c:v>
                </c:pt>
                <c:pt idx="188">
                  <c:v>12430.56</c:v>
                </c:pt>
                <c:pt idx="189">
                  <c:v>12487.36</c:v>
                </c:pt>
                <c:pt idx="190">
                  <c:v>12021.28</c:v>
                </c:pt>
                <c:pt idx="191">
                  <c:v>11586.85</c:v>
                </c:pt>
                <c:pt idx="192">
                  <c:v>11781.13</c:v>
                </c:pt>
                <c:pt idx="193">
                  <c:v>11657.69</c:v>
                </c:pt>
                <c:pt idx="194">
                  <c:v>11504.65</c:v>
                </c:pt>
                <c:pt idx="195">
                  <c:v>11391.28</c:v>
                </c:pt>
                <c:pt idx="196">
                  <c:v>11073.87</c:v>
                </c:pt>
                <c:pt idx="197">
                  <c:v>11065.93</c:v>
                </c:pt>
                <c:pt idx="198">
                  <c:v>11223.71</c:v>
                </c:pt>
                <c:pt idx="199">
                  <c:v>11075.29</c:v>
                </c:pt>
                <c:pt idx="200">
                  <c:v>11058.87</c:v>
                </c:pt>
                <c:pt idx="201">
                  <c:v>10465.17</c:v>
                </c:pt>
                <c:pt idx="202">
                  <c:v>10337.02</c:v>
                </c:pt>
                <c:pt idx="203">
                  <c:v>10542.66</c:v>
                </c:pt>
                <c:pt idx="204">
                  <c:v>10819.5</c:v>
                </c:pt>
                <c:pt idx="205">
                  <c:v>10824.99</c:v>
                </c:pt>
                <c:pt idx="206">
                  <c:v>10904.48</c:v>
                </c:pt>
                <c:pt idx="207">
                  <c:v>10759.27</c:v>
                </c:pt>
                <c:pt idx="208">
                  <c:v>10606.2</c:v>
                </c:pt>
                <c:pt idx="209">
                  <c:v>10729.46</c:v>
                </c:pt>
                <c:pt idx="210">
                  <c:v>10466.799999999999</c:v>
                </c:pt>
                <c:pt idx="211">
                  <c:v>10861.64</c:v>
                </c:pt>
                <c:pt idx="212">
                  <c:v>11107.74</c:v>
                </c:pt>
                <c:pt idx="213">
                  <c:v>10795.63</c:v>
                </c:pt>
                <c:pt idx="214">
                  <c:v>10659.99</c:v>
                </c:pt>
                <c:pt idx="215">
                  <c:v>10336.09</c:v>
                </c:pt>
                <c:pt idx="216">
                  <c:v>10513.79</c:v>
                </c:pt>
                <c:pt idx="217">
                  <c:v>10415.030000000001</c:v>
                </c:pt>
                <c:pt idx="218">
                  <c:v>10249.85</c:v>
                </c:pt>
                <c:pt idx="219">
                  <c:v>10675.9</c:v>
                </c:pt>
                <c:pt idx="220">
                  <c:v>10625.78</c:v>
                </c:pt>
                <c:pt idx="221">
                  <c:v>10301.540000000001</c:v>
                </c:pt>
                <c:pt idx="222">
                  <c:v>10279.76</c:v>
                </c:pt>
                <c:pt idx="223">
                  <c:v>10696.56</c:v>
                </c:pt>
                <c:pt idx="224">
                  <c:v>10564.74</c:v>
                </c:pt>
                <c:pt idx="225">
                  <c:v>10332.89</c:v>
                </c:pt>
                <c:pt idx="226">
                  <c:v>10356.700000000001</c:v>
                </c:pt>
                <c:pt idx="227">
                  <c:v>10465.469999999999</c:v>
                </c:pt>
                <c:pt idx="228">
                  <c:v>9525.77</c:v>
                </c:pt>
                <c:pt idx="229">
                  <c:v>9570.82</c:v>
                </c:pt>
                <c:pt idx="230">
                  <c:v>9544.75</c:v>
                </c:pt>
                <c:pt idx="231">
                  <c:v>9935.84</c:v>
                </c:pt>
                <c:pt idx="232">
                  <c:v>9815.9699999999993</c:v>
                </c:pt>
                <c:pt idx="233">
                  <c:v>9632.52</c:v>
                </c:pt>
                <c:pt idx="234">
                  <c:v>10000.959999999999</c:v>
                </c:pt>
                <c:pt idx="235">
                  <c:v>9874.26</c:v>
                </c:pt>
                <c:pt idx="236">
                  <c:v>9700.57</c:v>
                </c:pt>
                <c:pt idx="237">
                  <c:v>8741.15</c:v>
                </c:pt>
                <c:pt idx="238">
                  <c:v>8928.9500000000007</c:v>
                </c:pt>
                <c:pt idx="239">
                  <c:v>8610.43</c:v>
                </c:pt>
                <c:pt idx="240">
                  <c:v>8441.7099999999991</c:v>
                </c:pt>
                <c:pt idx="241">
                  <c:v>8939.1</c:v>
                </c:pt>
                <c:pt idx="242">
                  <c:v>8742.25</c:v>
                </c:pt>
                <c:pt idx="243">
                  <c:v>9232.08</c:v>
                </c:pt>
                <c:pt idx="244">
                  <c:v>9161.1299999999992</c:v>
                </c:pt>
                <c:pt idx="245">
                  <c:v>10438.68</c:v>
                </c:pt>
                <c:pt idx="246">
                  <c:v>10475.49</c:v>
                </c:pt>
                <c:pt idx="247">
                  <c:v>10625.02</c:v>
                </c:pt>
                <c:pt idx="248">
                  <c:v>11541.87</c:v>
                </c:pt>
                <c:pt idx="249">
                  <c:v>11944.72</c:v>
                </c:pt>
                <c:pt idx="250">
                  <c:v>12127.69</c:v>
                </c:pt>
                <c:pt idx="251">
                  <c:v>11985.39</c:v>
                </c:pt>
                <c:pt idx="252">
                  <c:v>11857.87</c:v>
                </c:pt>
                <c:pt idx="253">
                  <c:v>11890.35</c:v>
                </c:pt>
                <c:pt idx="254">
                  <c:v>12367.46</c:v>
                </c:pt>
                <c:pt idx="255">
                  <c:v>12774.88</c:v>
                </c:pt>
                <c:pt idx="256">
                  <c:v>12790.49</c:v>
                </c:pt>
                <c:pt idx="257">
                  <c:v>13035.24</c:v>
                </c:pt>
                <c:pt idx="258">
                  <c:v>13579.33</c:v>
                </c:pt>
                <c:pt idx="259">
                  <c:v>13664</c:v>
                </c:pt>
                <c:pt idx="260">
                  <c:v>13789</c:v>
                </c:pt>
                <c:pt idx="261">
                  <c:v>13681.19</c:v>
                </c:pt>
                <c:pt idx="262">
                  <c:v>13783.89</c:v>
                </c:pt>
                <c:pt idx="263">
                  <c:v>13744.21</c:v>
                </c:pt>
                <c:pt idx="264">
                  <c:v>13745.43</c:v>
                </c:pt>
                <c:pt idx="265">
                  <c:v>13749.78</c:v>
                </c:pt>
                <c:pt idx="266">
                  <c:v>13627.84</c:v>
                </c:pt>
                <c:pt idx="267">
                  <c:v>13494.03</c:v>
                </c:pt>
                <c:pt idx="268">
                  <c:v>13513.81</c:v>
                </c:pt>
                <c:pt idx="269">
                  <c:v>13574.82</c:v>
                </c:pt>
                <c:pt idx="270">
                  <c:v>13478.33</c:v>
                </c:pt>
                <c:pt idx="271">
                  <c:v>13281.74</c:v>
                </c:pt>
                <c:pt idx="272">
                  <c:v>13045.19</c:v>
                </c:pt>
                <c:pt idx="273">
                  <c:v>12981.97</c:v>
                </c:pt>
                <c:pt idx="274">
                  <c:v>13157.12</c:v>
                </c:pt>
                <c:pt idx="275">
                  <c:v>13345</c:v>
                </c:pt>
                <c:pt idx="276">
                  <c:v>13323.69</c:v>
                </c:pt>
                <c:pt idx="277">
                  <c:v>13204.77</c:v>
                </c:pt>
                <c:pt idx="278">
                  <c:v>13576.68</c:v>
                </c:pt>
                <c:pt idx="279">
                  <c:v>13388.42</c:v>
                </c:pt>
                <c:pt idx="280">
                  <c:v>13515.75</c:v>
                </c:pt>
                <c:pt idx="281">
                  <c:v>13555.87</c:v>
                </c:pt>
                <c:pt idx="282">
                  <c:v>13548.94</c:v>
                </c:pt>
                <c:pt idx="283">
                  <c:v>13526.13</c:v>
                </c:pt>
                <c:pt idx="284">
                  <c:v>13429.43</c:v>
                </c:pt>
                <c:pt idx="285">
                  <c:v>13432.3</c:v>
                </c:pt>
                <c:pt idx="286">
                  <c:v>13456.49</c:v>
                </c:pt>
                <c:pt idx="287">
                  <c:v>13451.52</c:v>
                </c:pt>
                <c:pt idx="288">
                  <c:v>13483.31</c:v>
                </c:pt>
                <c:pt idx="289">
                  <c:v>13495.06</c:v>
                </c:pt>
                <c:pt idx="290">
                  <c:v>13320.18</c:v>
                </c:pt>
                <c:pt idx="291">
                  <c:v>13226.83</c:v>
                </c:pt>
                <c:pt idx="292">
                  <c:v>13126.99</c:v>
                </c:pt>
                <c:pt idx="293">
                  <c:v>13219.14</c:v>
                </c:pt>
                <c:pt idx="294">
                  <c:v>13385.93</c:v>
                </c:pt>
              </c:numCache>
            </c:numRef>
          </c:val>
          <c:smooth val="0"/>
          <c:extLst>
            <c:ext xmlns:c16="http://schemas.microsoft.com/office/drawing/2014/chart" uri="{C3380CC4-5D6E-409C-BE32-E72D297353CC}">
              <c16:uniqueId val="{00000000-69F4-4ED6-9865-1B8C10522E99}"/>
            </c:ext>
          </c:extLst>
        </c:ser>
        <c:dLbls>
          <c:showLegendKey val="0"/>
          <c:showVal val="0"/>
          <c:showCatName val="0"/>
          <c:showSerName val="0"/>
          <c:showPercent val="0"/>
          <c:showBubbleSize val="0"/>
        </c:dLbls>
        <c:smooth val="0"/>
        <c:axId val="570372352"/>
        <c:axId val="570367432"/>
      </c:lineChart>
      <c:dateAx>
        <c:axId val="57037235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Slab" pitchFamily="2" charset="0"/>
                <a:ea typeface="Roboto Slab" pitchFamily="2" charset="0"/>
                <a:cs typeface="+mn-cs"/>
              </a:defRPr>
            </a:pPr>
            <a:endParaRPr lang="de-DE"/>
          </a:p>
        </c:txPr>
        <c:crossAx val="570367432"/>
        <c:crosses val="autoZero"/>
        <c:auto val="1"/>
        <c:lblOffset val="100"/>
        <c:baseTimeUnit val="days"/>
      </c:dateAx>
      <c:valAx>
        <c:axId val="570367432"/>
        <c:scaling>
          <c:orientation val="minMax"/>
          <c:min val="8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Slab" pitchFamily="2" charset="0"/>
                <a:ea typeface="Roboto Slab" pitchFamily="2" charset="0"/>
                <a:cs typeface="+mn-cs"/>
              </a:defRPr>
            </a:pPr>
            <a:endParaRPr lang="de-DE"/>
          </a:p>
        </c:txPr>
        <c:crossAx val="570372352"/>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228E-07C3-4186-8E2D-28CB95A7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8194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Krahe</dc:creator>
  <cp:lastModifiedBy>Rolf Krahe</cp:lastModifiedBy>
  <cp:revision>5</cp:revision>
  <cp:lastPrinted>2016-03-30T10:12:00Z</cp:lastPrinted>
  <dcterms:created xsi:type="dcterms:W3CDTF">2021-03-02T09:57:00Z</dcterms:created>
  <dcterms:modified xsi:type="dcterms:W3CDTF">2021-03-02T10:09:00Z</dcterms:modified>
</cp:coreProperties>
</file>